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51541">
      <w:pPr>
        <w:spacing w:line="360" w:lineRule="auto"/>
        <w:outlineLvl w:val="0"/>
        <w:rPr>
          <w:rFonts w:ascii="楷体_GB2312" w:eastAsia="楷体_GB2312"/>
          <w:b/>
          <w:sz w:val="32"/>
          <w:szCs w:val="32"/>
        </w:rPr>
      </w:pPr>
      <w:r>
        <w:rPr>
          <w:rFonts w:ascii="楷体_GB2312" w:eastAsia="楷体_GB2312"/>
          <w:b/>
          <w:sz w:val="28"/>
          <w:szCs w:val="28"/>
        </w:rPr>
        <mc:AlternateContent>
          <mc:Choice Requires="wps">
            <w:drawing>
              <wp:anchor distT="0" distB="0" distL="114300" distR="114300" simplePos="0" relativeHeight="251662336" behindDoc="0" locked="0" layoutInCell="1" allowOverlap="1">
                <wp:simplePos x="0" y="0"/>
                <wp:positionH relativeFrom="column">
                  <wp:posOffset>4490720</wp:posOffset>
                </wp:positionH>
                <wp:positionV relativeFrom="paragraph">
                  <wp:posOffset>15240</wp:posOffset>
                </wp:positionV>
                <wp:extent cx="1143000" cy="361950"/>
                <wp:effectExtent l="0" t="0" r="0" b="0"/>
                <wp:wrapNone/>
                <wp:docPr id="5" name="Text Box 2"/>
                <wp:cNvGraphicFramePr/>
                <a:graphic xmlns:a="http://schemas.openxmlformats.org/drawingml/2006/main">
                  <a:graphicData uri="http://schemas.microsoft.com/office/word/2010/wordprocessingShape">
                    <wps:wsp>
                      <wps:cNvSpPr txBox="1"/>
                      <wps:spPr>
                        <a:xfrm>
                          <a:off x="0" y="0"/>
                          <a:ext cx="1143000" cy="361950"/>
                        </a:xfrm>
                        <a:prstGeom prst="rect">
                          <a:avLst/>
                        </a:prstGeom>
                        <a:noFill/>
                        <a:ln w="9525" cap="flat" cmpd="sng">
                          <a:solidFill>
                            <a:srgbClr val="000000"/>
                          </a:solidFill>
                          <a:prstDash val="solid"/>
                          <a:miter/>
                          <a:headEnd type="none" w="med" len="med"/>
                          <a:tailEnd type="none" w="med" len="med"/>
                        </a:ln>
                        <a:effectLst/>
                      </wps:spPr>
                      <wps:txbx>
                        <w:txbxContent>
                          <w:p w14:paraId="757CF148">
                            <w:pPr>
                              <w:adjustRightInd w:val="0"/>
                              <w:snapToGrid w:val="0"/>
                              <w:jc w:val="center"/>
                              <w:rPr>
                                <w:rFonts w:ascii="楷体_GB2312" w:eastAsia="楷体_GB2312"/>
                                <w:b/>
                                <w:sz w:val="28"/>
                                <w:szCs w:val="28"/>
                              </w:rPr>
                            </w:pPr>
                            <w:r>
                              <w:rPr>
                                <w:rFonts w:hint="eastAsia" w:ascii="楷体_GB2312" w:eastAsia="楷体_GB2312"/>
                                <w:b/>
                                <w:sz w:val="28"/>
                                <w:szCs w:val="28"/>
                              </w:rPr>
                              <w:t>内部资料</w:t>
                            </w:r>
                          </w:p>
                        </w:txbxContent>
                      </wps:txbx>
                      <wps:bodyPr upright="1"/>
                    </wps:wsp>
                  </a:graphicData>
                </a:graphic>
              </wp:anchor>
            </w:drawing>
          </mc:Choice>
          <mc:Fallback>
            <w:pict>
              <v:shape id="Text Box 2" o:spid="_x0000_s1026" o:spt="202" type="#_x0000_t202" style="position:absolute;left:0pt;margin-left:353.6pt;margin-top:1.2pt;height:28.5pt;width:90pt;z-index:251662336;mso-width-relative:page;mso-height-relative:page;" filled="f" stroked="t" coordsize="21600,21600" o:gfxdata="UEsDBAoAAAAAAIdO4kAAAAAAAAAAAAAAAAAEAAAAZHJzL1BLAwQUAAAACACHTuJA+qp4z9UAAAAI&#10;AQAADwAAAGRycy9kb3ducmV2LnhtbE2PzU7DMBCE70i8g7VI3KjdtJA0xOmBwh1Cgesm3iYRsR3F&#10;7g88PdtTOY5mdvabYn2ygzjQFHrvNMxnCgS5xpvetRq27y93GYgQ0RkcvCMNPxRgXV5fFZgbf3Rv&#10;dKhiK7jEhRw1dDGOuZSh6chimPmRHHs7P1mMLKdWmgmPXG4HmSj1IC32jj90ONJTR813tbeMkXxt&#10;F5vXitIU68Xm+fdjtfsctL69matHEJFO8RKGMz7fQMlMtd87E8SgIVVpwlENyRIE+1l21rWG+9US&#10;ZFnI/wPKP1BLAwQUAAAACACHTuJA3xVWQvsBAAAaBAAADgAAAGRycy9lMm9Eb2MueG1srVNNb9sw&#10;DL0P2H8QdF/spEuxGnEKbFl3GbYB7X6AItG2AH1BVGLn34+S07TrLjnMB5kSqUe+R2pzP1nDjhBR&#10;e9fy5aLmDJz0Sru+5b+fHj584gyTcEoY76DlJ0B+v33/bjOGBlZ+8EZBZATisBlDy4eUQlNVKAew&#10;Ahc+gCNn56MVibaxr1QUI6FbU63q+rYafVQhegmIdLqbnfyMGK8B9F2nJey8PFhwaUaNYEQiSjjo&#10;gHxbqu06kOln1yEkZlpOTFNZKQnZ+7xW241o+ijCoOW5BHFNCW84WaEdJb1A7UQS7BD1P1BWy+jR&#10;d2khva1mIkURYrGs32jzOIgAhQtJjeEiOv4/WPnj+CsyrVq+5swJSw1/gimxz35iq6zOGLChoMdA&#10;YWmiY5qZ53Okw0x66qLNf6LDyE/ani7aZjCZLy0/3tQ1uST5bm6Xd+sifvVyO0RM38Bblo2WR+pd&#10;kVQcv2OiSij0OSQnc/5BG1P6ZxwbW363XhEHKWgmO5oFMm0gXuj6AoPeaJWv5MsY+/0XE9lR5Lko&#10;XyZFKf4Ky/l2Aoc5rrjmibE6QSy5BxDqq1MsnQJp5+jJ8FyMBcWZAXph2SqRSWhzTSQVYVwuEsr8&#10;nsnnPsx6ZytN+4lAs7n36kS9OYSo+4F0K92psodGplA6j3eeydd7sl8/6e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p4z9UAAAAIAQAADwAAAAAAAAABACAAAAAiAAAAZHJzL2Rvd25yZXYueG1s&#10;UEsBAhQAFAAAAAgAh07iQN8VVkL7AQAAGgQAAA4AAAAAAAAAAQAgAAAAJAEAAGRycy9lMm9Eb2Mu&#10;eG1sUEsFBgAAAAAGAAYAWQEAAJEFAAAAAA==&#10;">
                <v:fill on="f" focussize="0,0"/>
                <v:stroke color="#000000" joinstyle="miter"/>
                <v:imagedata o:title=""/>
                <o:lock v:ext="edit" aspectratio="f"/>
                <v:textbox>
                  <w:txbxContent>
                    <w:p w14:paraId="757CF148">
                      <w:pPr>
                        <w:adjustRightInd w:val="0"/>
                        <w:snapToGrid w:val="0"/>
                        <w:jc w:val="center"/>
                        <w:rPr>
                          <w:rFonts w:ascii="楷体_GB2312" w:eastAsia="楷体_GB2312"/>
                          <w:b/>
                          <w:sz w:val="28"/>
                          <w:szCs w:val="28"/>
                        </w:rPr>
                      </w:pPr>
                      <w:r>
                        <w:rPr>
                          <w:rFonts w:hint="eastAsia" w:ascii="楷体_GB2312" w:eastAsia="楷体_GB2312"/>
                          <w:b/>
                          <w:sz w:val="28"/>
                          <w:szCs w:val="28"/>
                        </w:rPr>
                        <w:t>内部资料</w:t>
                      </w:r>
                    </w:p>
                  </w:txbxContent>
                </v:textbox>
              </v:shape>
            </w:pict>
          </mc:Fallback>
        </mc:AlternateContent>
      </w:r>
      <w:r>
        <w:rPr>
          <w:rFonts w:hint="eastAsia" w:ascii="楷体_GB2312" w:eastAsia="楷体_GB2312"/>
          <w:b/>
          <w:sz w:val="32"/>
          <w:szCs w:val="32"/>
        </w:rPr>
        <w:t xml:space="preserve">领导阅示：                               </w:t>
      </w:r>
    </w:p>
    <w:p w14:paraId="3023BDE0">
      <w:pPr>
        <w:spacing w:line="360" w:lineRule="auto"/>
        <w:outlineLvl w:val="0"/>
        <w:rPr>
          <w:rFonts w:ascii="楷体_GB2312" w:eastAsia="楷体_GB2312"/>
          <w:b/>
          <w:sz w:val="32"/>
          <w:szCs w:val="32"/>
        </w:rPr>
      </w:pPr>
    </w:p>
    <w:p w14:paraId="2102C48D">
      <w:pPr>
        <w:spacing w:line="360" w:lineRule="auto"/>
        <w:outlineLvl w:val="0"/>
        <w:rPr>
          <w:rFonts w:ascii="黑体" w:hAnsi="黑体" w:eastAsia="黑体"/>
          <w:b/>
          <w:sz w:val="44"/>
          <w:szCs w:val="32"/>
        </w:rPr>
      </w:pPr>
      <w:r>
        <w:rPr>
          <w:rFonts w:hint="eastAsia" w:ascii="黑体" w:hAnsi="黑体" w:eastAsia="黑体" w:cs="仿宋"/>
          <w:b/>
          <w:bCs/>
          <w:sz w:val="40"/>
          <w:szCs w:val="30"/>
        </w:rPr>
        <w:t>郑州轻工业大学 社会发展研究中心</w:t>
      </w:r>
    </w:p>
    <w:p w14:paraId="2A4991C6">
      <w:pPr>
        <w:jc w:val="center"/>
        <w:rPr>
          <w:rFonts w:hint="eastAsia" w:ascii="隶书" w:hAnsi="隶书" w:eastAsia="隶书"/>
          <w:b/>
          <w:color w:val="FF0000"/>
          <w:sz w:val="112"/>
          <w:lang w:val="en-US" w:eastAsia="zh-CN"/>
        </w:rPr>
      </w:pPr>
      <w:r>
        <w:rPr>
          <w:rFonts w:hint="eastAsia" w:ascii="新宋体" w:hAnsi="新宋体" w:eastAsia="新宋体" w:cs="新宋体"/>
          <w:b/>
          <w:color w:val="FF0000"/>
          <w:sz w:val="112"/>
          <w:lang w:val="en-US" w:eastAsia="zh-CN"/>
        </w:rPr>
        <w:t>决</w:t>
      </w:r>
      <w:r>
        <w:rPr>
          <w:rFonts w:hint="eastAsia" w:ascii="新宋体" w:hAnsi="新宋体" w:eastAsia="新宋体" w:cs="新宋体"/>
          <w:b/>
          <w:color w:val="FF0000"/>
          <w:sz w:val="112"/>
        </w:rPr>
        <w:t xml:space="preserve"> </w:t>
      </w:r>
      <w:r>
        <w:rPr>
          <w:rFonts w:hint="eastAsia" w:ascii="新宋体" w:hAnsi="新宋体" w:eastAsia="新宋体" w:cs="新宋体"/>
          <w:b/>
          <w:color w:val="FF0000"/>
          <w:sz w:val="112"/>
          <w:lang w:val="en-US" w:eastAsia="zh-CN"/>
        </w:rPr>
        <w:t>策</w:t>
      </w:r>
      <w:r>
        <w:rPr>
          <w:rFonts w:hint="eastAsia" w:ascii="新宋体" w:hAnsi="新宋体" w:eastAsia="新宋体" w:cs="新宋体"/>
          <w:b/>
          <w:color w:val="FF0000"/>
          <w:sz w:val="112"/>
        </w:rPr>
        <w:t xml:space="preserve"> </w:t>
      </w:r>
      <w:r>
        <w:rPr>
          <w:rFonts w:hint="eastAsia" w:ascii="新宋体" w:hAnsi="新宋体" w:eastAsia="新宋体" w:cs="新宋体"/>
          <w:b/>
          <w:color w:val="FF0000"/>
          <w:sz w:val="112"/>
          <w:lang w:val="en-US" w:eastAsia="zh-CN"/>
        </w:rPr>
        <w:t>参</w:t>
      </w:r>
      <w:r>
        <w:rPr>
          <w:rFonts w:hint="eastAsia" w:ascii="新宋体" w:hAnsi="新宋体" w:eastAsia="新宋体" w:cs="新宋体"/>
          <w:b/>
          <w:color w:val="FF0000"/>
          <w:sz w:val="112"/>
        </w:rPr>
        <w:t xml:space="preserve"> </w:t>
      </w:r>
      <w:r>
        <w:rPr>
          <w:rFonts w:hint="eastAsia" w:ascii="新宋体" w:hAnsi="新宋体" w:eastAsia="新宋体" w:cs="新宋体"/>
          <w:b/>
          <w:color w:val="FF0000"/>
          <w:sz w:val="112"/>
          <w:lang w:val="en-US" w:eastAsia="zh-CN"/>
        </w:rPr>
        <w:t>考</w:t>
      </w:r>
    </w:p>
    <w:p w14:paraId="068E3F52">
      <w:pPr>
        <w:jc w:val="center"/>
        <w:rPr>
          <w:rFonts w:ascii="黑体" w:eastAsia="黑体"/>
          <w:sz w:val="30"/>
          <w:szCs w:val="30"/>
        </w:rPr>
      </w:pPr>
      <w:r>
        <w:rPr>
          <w:rFonts w:hint="eastAsia" w:ascii="黑体" w:eastAsia="黑体"/>
          <w:sz w:val="30"/>
          <w:szCs w:val="30"/>
        </w:rPr>
        <w:t>〔201</w:t>
      </w:r>
      <w:r>
        <w:rPr>
          <w:rFonts w:ascii="黑体" w:eastAsia="黑体"/>
          <w:sz w:val="30"/>
          <w:szCs w:val="30"/>
        </w:rPr>
        <w:t>9</w:t>
      </w:r>
      <w:r>
        <w:rPr>
          <w:rFonts w:hint="eastAsia" w:ascii="黑体" w:eastAsia="黑体"/>
          <w:sz w:val="30"/>
          <w:szCs w:val="30"/>
        </w:rPr>
        <w:t>〕第</w:t>
      </w:r>
      <w:r>
        <w:rPr>
          <w:rFonts w:ascii="黑体" w:eastAsia="黑体"/>
          <w:sz w:val="30"/>
          <w:szCs w:val="30"/>
        </w:rPr>
        <w:t>1</w:t>
      </w:r>
      <w:r>
        <w:rPr>
          <w:rFonts w:hint="eastAsia" w:ascii="黑体" w:eastAsia="黑体"/>
          <w:sz w:val="30"/>
          <w:szCs w:val="30"/>
        </w:rPr>
        <w:t>期</w:t>
      </w:r>
    </w:p>
    <w:p w14:paraId="3775E3AE">
      <w:pPr>
        <w:jc w:val="center"/>
        <w:rPr>
          <w:rFonts w:ascii="仿宋_GB2312" w:eastAsia="仿宋_GB2312"/>
          <w:sz w:val="30"/>
          <w:szCs w:val="30"/>
        </w:rPr>
      </w:pPr>
      <w:r>
        <w:rPr>
          <w:rFonts w:hint="eastAsia" w:ascii="仿宋_GB2312" w:eastAsia="仿宋_GB2312"/>
          <w:sz w:val="30"/>
          <w:szCs w:val="30"/>
        </w:rPr>
        <w:t>（总第89期）</w:t>
      </w:r>
    </w:p>
    <w:p w14:paraId="12E3EB38">
      <w:pPr>
        <w:jc w:val="center"/>
        <w:rPr>
          <w:rFonts w:ascii="仿宋" w:hAnsi="仿宋" w:eastAsia="仿宋" w:cs="仿宋"/>
          <w:b/>
          <w:bCs/>
          <w:sz w:val="30"/>
          <w:szCs w:val="30"/>
        </w:rPr>
      </w:pPr>
      <w:r>
        <w:rPr>
          <w:rFonts w:ascii="仿宋" w:hAnsi="仿宋" w:eastAsia="仿宋" w:cs="仿宋"/>
          <w:b/>
          <w:bCs/>
          <w:sz w:val="30"/>
          <w:szCs w:val="30"/>
        </w:rPr>
        <mc:AlternateContent>
          <mc:Choice Requires="wps">
            <w:drawing>
              <wp:anchor distT="0" distB="0" distL="114300" distR="114300" simplePos="0" relativeHeight="251660288" behindDoc="1" locked="0" layoutInCell="1" allowOverlap="1">
                <wp:simplePos x="0" y="0"/>
                <wp:positionH relativeFrom="column">
                  <wp:posOffset>-27940</wp:posOffset>
                </wp:positionH>
                <wp:positionV relativeFrom="paragraph">
                  <wp:posOffset>355600</wp:posOffset>
                </wp:positionV>
                <wp:extent cx="5400040" cy="0"/>
                <wp:effectExtent l="0" t="0" r="0" b="0"/>
                <wp:wrapNone/>
                <wp:docPr id="4" name="Line 3"/>
                <wp:cNvGraphicFramePr/>
                <a:graphic xmlns:a="http://schemas.openxmlformats.org/drawingml/2006/main">
                  <a:graphicData uri="http://schemas.microsoft.com/office/word/2010/wordprocessingShape">
                    <wps:wsp>
                      <wps:cNvCnPr/>
                      <wps:spPr>
                        <a:xfrm>
                          <a:off x="0" y="0"/>
                          <a:ext cx="5400040" cy="0"/>
                        </a:xfrm>
                        <a:prstGeom prst="line">
                          <a:avLst/>
                        </a:prstGeom>
                        <a:ln w="9525">
                          <a:noFill/>
                        </a:ln>
                        <a:effectLst/>
                      </wps:spPr>
                      <wps:bodyPr/>
                    </wps:wsp>
                  </a:graphicData>
                </a:graphic>
              </wp:anchor>
            </w:drawing>
          </mc:Choice>
          <mc:Fallback>
            <w:pict>
              <v:line id="Line 3" o:spid="_x0000_s1026" o:spt="20" style="position:absolute;left:0pt;margin-left:-2.2pt;margin-top:28pt;height:0pt;width:425.2pt;z-index:-251656192;mso-width-relative:page;mso-height-relative:page;" filled="f" stroked="f" coordsize="21600,21600" o:gfxdata="UEsDBAoAAAAAAIdO4kAAAAAAAAAAAAAAAAAEAAAAZHJzL1BLAwQUAAAACACHTuJAf2yJntcAAAAI&#10;AQAADwAAAGRycy9kb3ducmV2LnhtbE2PMU/DMBCFdyT+g3VIbK1TCCUNcTqAgIGpLVLVzY2PJDQ+&#10;R7abtP+eqxhgu7v39O57xfJkOzGgD60jBbNpAgKpcqalWsHn5nWSgQhRk9GdI1RwxgDL8vqq0Llx&#10;I61wWMdacAiFXCtoYuxzKUPVoNVh6nok1r6ctzry6mtpvB453HbyLknm0uqW+EOje3xusDqsj1ZB&#10;eDls3fdufM+Ghd/gx3lbPb7dK3V7M0ueQEQ8xT8zXPAZHUpm2rsjmSA6BZM0ZaeChzlXYj1LL8P+&#10;9yDLQv4vUP4AUEsDBBQAAAAIAIdO4kCwDLQfjAEAAC8DAAAOAAAAZHJzL2Uyb0RvYy54bWytUk1v&#10;2zAMvQ/YfxB0X+SmSbEZcXpo0F6KLUC3H6DKVCxAXxDVOPn3pWQ3K7pLD7vIpPj0yPfoze3JWXaE&#10;hCb4jl8tGs7Aq9Abf+j4n9/3375zhln6XtrgoeNnQH67/fplM8YWlmEItofEiMRjO8aODznHVghU&#10;AziJixDBU1GH5GSmNB1En+RI7M6KZdPciDGkPqagAJFud1ORz4zpM4RBa6NgF9SLA58n1gRWZpKE&#10;g4nIt3VarUHlX1ojZGY7TkpzPakJxc/lFNuNbA9JxsGoeQT5mRE+aHLSeGp6odrJLNlLMv9QOaNS&#10;wKDzQgUnJiHVEVJx1Xzw5mmQEaoWshrjxXT8f7Tq53GfmOk7vuLMS0cLfzQe2HVxZozYEuDO79Oc&#10;YdynIvOkkytfEsBO1c3zxU04Zabocr1qmmZFRqu3mvj7MCbMDxAcK0HHLfWs/snjI2ZqRtA3SOlj&#10;PRs7/mO9XFeUD/fG2glmfQFA3fX8tsw9TVqi59CfqwBRMvKxss87L4t6n1P8/j/fv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8AwAAW0NvbnRl&#10;bnRfVHlwZXNdLnhtbFBLAQIUAAoAAAAAAIdO4kAAAAAAAAAAAAAAAAAGAAAAAAAAAAAAEAAAAN4C&#10;AABfcmVscy9QSwECFAAUAAAACACHTuJAihRmPNEAAACUAQAACwAAAAAAAAABACAAAAACAwAAX3Jl&#10;bHMvLnJlbHNQSwECFAAKAAAAAACHTuJAAAAAAAAAAAAAAAAABAAAAAAAAAAAABAAAAAAAAAAZHJz&#10;L1BLAQIUABQAAAAIAIdO4kB/bIme1wAAAAgBAAAPAAAAAAAAAAEAIAAAACIAAABkcnMvZG93bnJl&#10;di54bWxQSwECFAAUAAAACACHTuJAsAy0H4wBAAAvAwAADgAAAAAAAAABACAAAAAmAQAAZHJzL2Uy&#10;b0RvYy54bWxQSwUGAAAAAAYABgBZAQAAJAUAAAAA&#10;">
                <v:fill on="f" focussize="0,0"/>
                <v:stroke on="f"/>
                <v:imagedata o:title=""/>
                <o:lock v:ext="edit" aspectratio="f"/>
              </v:line>
            </w:pict>
          </mc:Fallback>
        </mc:AlternateContent>
      </w:r>
      <w:r>
        <w:rPr>
          <w:rFonts w:hint="eastAsia" w:ascii="仿宋" w:hAnsi="仿宋" w:eastAsia="仿宋" w:cs="仿宋"/>
          <w:b/>
          <w:bCs/>
          <w:sz w:val="30"/>
          <w:szCs w:val="30"/>
        </w:rPr>
        <w:t xml:space="preserve">   201</w:t>
      </w:r>
      <w:r>
        <w:rPr>
          <w:rFonts w:ascii="仿宋" w:hAnsi="仿宋" w:eastAsia="仿宋" w:cs="仿宋"/>
          <w:b/>
          <w:bCs/>
          <w:sz w:val="30"/>
          <w:szCs w:val="30"/>
        </w:rPr>
        <w:t>9</w:t>
      </w:r>
      <w:r>
        <w:rPr>
          <w:rFonts w:hint="eastAsia" w:ascii="仿宋" w:hAnsi="仿宋" w:eastAsia="仿宋" w:cs="仿宋"/>
          <w:b/>
          <w:bCs/>
          <w:sz w:val="30"/>
          <w:szCs w:val="30"/>
        </w:rPr>
        <w:t>年</w:t>
      </w:r>
      <w:r>
        <w:rPr>
          <w:rFonts w:ascii="仿宋" w:hAnsi="仿宋" w:eastAsia="仿宋" w:cs="仿宋"/>
          <w:b/>
          <w:bCs/>
          <w:sz w:val="30"/>
          <w:szCs w:val="30"/>
        </w:rPr>
        <w:t>1</w:t>
      </w:r>
      <w:r>
        <w:rPr>
          <w:rFonts w:hint="eastAsia" w:ascii="仿宋" w:hAnsi="仿宋" w:eastAsia="仿宋" w:cs="仿宋"/>
          <w:b/>
          <w:bCs/>
          <w:sz w:val="30"/>
          <w:szCs w:val="30"/>
        </w:rPr>
        <w:t>月</w:t>
      </w:r>
      <w:r>
        <w:rPr>
          <w:rFonts w:ascii="仿宋" w:hAnsi="仿宋" w:eastAsia="仿宋" w:cs="仿宋"/>
          <w:b/>
          <w:bCs/>
          <w:sz w:val="30"/>
          <w:szCs w:val="30"/>
        </w:rPr>
        <w:t>30</w:t>
      </w:r>
      <w:r>
        <w:rPr>
          <w:rFonts w:hint="eastAsia" w:ascii="仿宋" w:hAnsi="仿宋" w:eastAsia="仿宋" w:cs="仿宋"/>
          <w:b/>
          <w:bCs/>
          <w:sz w:val="30"/>
          <w:szCs w:val="30"/>
        </w:rPr>
        <w:t>日</w:t>
      </w:r>
    </w:p>
    <w:p w14:paraId="63A33B51">
      <w:pPr>
        <w:spacing w:line="360" w:lineRule="auto"/>
        <w:rPr>
          <w:rFonts w:ascii="黑体" w:hAnsi="黑体" w:eastAsia="黑体" w:cs="黑体"/>
          <w:b/>
          <w:bCs/>
          <w:sz w:val="32"/>
          <w:szCs w:val="32"/>
        </w:rPr>
      </w:pPr>
      <w:r>
        <w:rPr>
          <w:rFonts w:ascii="仿宋" w:hAnsi="仿宋" w:eastAsia="仿宋" w:cs="仿宋"/>
          <w:b/>
          <w:bCs/>
          <w:sz w:val="30"/>
          <w:szCs w:val="30"/>
        </w:rPr>
        <mc:AlternateContent>
          <mc:Choice Requires="wps">
            <w:drawing>
              <wp:anchor distT="0" distB="0" distL="114300" distR="114300" simplePos="0" relativeHeight="251661312" behindDoc="0" locked="0" layoutInCell="1" allowOverlap="1">
                <wp:simplePos x="0" y="0"/>
                <wp:positionH relativeFrom="column">
                  <wp:posOffset>-5715</wp:posOffset>
                </wp:positionH>
                <wp:positionV relativeFrom="paragraph">
                  <wp:posOffset>55880</wp:posOffset>
                </wp:positionV>
                <wp:extent cx="5323205" cy="635"/>
                <wp:effectExtent l="0" t="0" r="10795" b="18415"/>
                <wp:wrapNone/>
                <wp:docPr id="3" name="直线 18"/>
                <wp:cNvGraphicFramePr/>
                <a:graphic xmlns:a="http://schemas.openxmlformats.org/drawingml/2006/main">
                  <a:graphicData uri="http://schemas.microsoft.com/office/word/2010/wordprocessingShape">
                    <wps:wsp>
                      <wps:cNvCnPr/>
                      <wps:spPr>
                        <a:xfrm>
                          <a:off x="0" y="0"/>
                          <a:ext cx="532320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直线 18" o:spid="_x0000_s1026" o:spt="20" style="position:absolute;left:0pt;margin-left:-0.45pt;margin-top:4.4pt;height:0.05pt;width:419.15pt;z-index:251661312;mso-width-relative:page;mso-height-relative:page;" filled="f" stroked="t" coordsize="21600,21600" o:gfxdata="UEsDBAoAAAAAAIdO4kAAAAAAAAAAAAAAAAAEAAAAZHJzL1BLAwQUAAAACACHTuJAdeLSHNQAAAAF&#10;AQAADwAAAGRycy9kb3ducmV2LnhtbE2OzU7DMBCE70i8g7VIXFDr9Ec0CXF6ACFuIAoS1629JBHx&#10;OsRuU3h6lhPcZjSjma/annyvjjTGLrCBxTwDRWyD67gx8PpyP8tBxYTssA9MBr4owrY+P6uwdGHi&#10;ZzruUqNkhGOJBtqUhlLraFvyGOdhIJbsPYwek9ix0W7EScZ9r5dZdq09diwPLQ5025L92B28Ad4U&#10;D/bz6S3ZtZ6mcLX6fsTlnTGXF4vsBlSiU/orwy++oEMtTPtwYBdVb2BWSNFALvyS5qvNGtReRAG6&#10;rvR/+voHUEsDBBQAAAAIAIdO4kCOPXg86AEAAOEDAAAOAAAAZHJzL2Uyb0RvYy54bWytU82O0zAQ&#10;viPxDpbvNGmrLlXUdA9bygVBJeABpraTWPKfPN6mfRZegxMXHmdfg3ESyrJceiAHZ8Yz/jzfN+PN&#10;/dkadlIRtXc1n89KzpQTXmrX1vzrl/2bNWeYwEkw3qmaXxTy++3rV5s+VGrhO2+kioxAHFZ9qHmX&#10;UqiKAkWnLODMB+Uo2PhoIZEb20JG6AndmmJRlndF76MM0QuFSLu7McgnxHgLoG8aLdTOi0erXBpR&#10;ozKQiBJ2OiDfDtU2jRLpU9OgSszUnJimYaVLyD7mtdhuoGojhE6LqQS4pYQXnCxoR5deoXaQgD1G&#10;/Q+U1SJ69E2aCW+LkcigCLGYly+0+dxBUAMXkhrDVXT8f7Di4+kQmZY1X3LmwFLDn759f/rxk83X&#10;WZw+YEU5D+4QJw/DIWam5yba/CcO7DwIerkKqs6JCdpcLRfLRbniTFDsbrnKiMWfoyFieq+8Zdmo&#10;udEus4UKTh8wjam/U/K2cayniV2t32ZEoNlrqOdk2kD1o2uHw+iNlnttTD6CsT0+mMhOQP3f70v6&#10;phr+Ssu37AC7MW8I5TSoOgXynZMsXQIp4+hB8FyDVZIzo+j9ZGvITKDNLZlE37gMrYbpnIhmmUdh&#10;s3X08jLoXWSPOj+oNk1pHq3nPtnPX+b2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Xi0hzUAAAA&#10;BQEAAA8AAAAAAAAAAQAgAAAAIgAAAGRycy9kb3ducmV2LnhtbFBLAQIUABQAAAAIAIdO4kCOPXg8&#10;6AEAAOEDAAAOAAAAAAAAAAEAIAAAACMBAABkcnMvZTJvRG9jLnhtbFBLBQYAAAAABgAGAFkBAAB9&#10;BQAAAAA=&#10;">
                <v:fill on="f" focussize="0,0"/>
                <v:stroke weight="1.25pt" color="#FF0000" joinstyle="round"/>
                <v:imagedata o:title=""/>
                <o:lock v:ext="edit" aspectratio="f"/>
              </v:line>
            </w:pict>
          </mc:Fallback>
        </mc:AlternateContent>
      </w:r>
    </w:p>
    <w:p w14:paraId="6C506F6F">
      <w:pPr>
        <w:adjustRightInd w:val="0"/>
        <w:snapToGrid w:val="0"/>
        <w:spacing w:after="312" w:afterLines="100"/>
        <w:jc w:val="center"/>
        <w:rPr>
          <w:rFonts w:ascii="黑体" w:hAnsi="黑体" w:eastAsia="黑体"/>
          <w:b/>
          <w:bCs/>
          <w:kern w:val="0"/>
          <w:sz w:val="32"/>
          <w:szCs w:val="32"/>
        </w:rPr>
      </w:pPr>
      <w:bookmarkStart w:id="0" w:name="_Toc25425_WPSOffice_Level2"/>
      <w:r>
        <w:rPr>
          <w:rFonts w:hint="eastAsia" w:ascii="黑体" w:hAnsi="黑体" w:eastAsia="黑体"/>
          <w:b/>
          <w:bCs/>
          <w:kern w:val="0"/>
          <w:sz w:val="32"/>
          <w:szCs w:val="32"/>
        </w:rPr>
        <w:t>河南省农村医疗贫困现状调查</w:t>
      </w:r>
      <w:bookmarkEnd w:id="0"/>
      <w:r>
        <w:rPr>
          <w:rFonts w:hint="eastAsia" w:ascii="黑体" w:hAnsi="黑体" w:eastAsia="黑体"/>
          <w:b/>
          <w:bCs/>
          <w:kern w:val="0"/>
          <w:sz w:val="32"/>
          <w:szCs w:val="32"/>
        </w:rPr>
        <w:t>与对策建议</w:t>
      </w:r>
    </w:p>
    <w:p w14:paraId="17B20442">
      <w:pPr>
        <w:spacing w:line="360" w:lineRule="auto"/>
        <w:rPr>
          <w:rFonts w:ascii="黑体" w:hAnsi="黑体" w:eastAsia="黑体" w:cs="黑体"/>
          <w:bCs/>
          <w:sz w:val="30"/>
          <w:szCs w:val="30"/>
        </w:rPr>
      </w:pPr>
      <w:r>
        <w:rPr>
          <w:rFonts w:hint="eastAsia" w:ascii="黑体" w:hAnsi="黑体" w:eastAsia="黑体" w:cs="黑体"/>
          <w:bCs/>
          <w:sz w:val="30"/>
          <w:szCs w:val="30"/>
        </w:rPr>
        <w:t>本期导读：</w:t>
      </w:r>
    </w:p>
    <w:p w14:paraId="3DC7996C">
      <w:pPr>
        <w:spacing w:line="480" w:lineRule="exact"/>
        <w:ind w:firstLine="480" w:firstLineChars="200"/>
        <w:jc w:val="left"/>
        <w:rPr>
          <w:rFonts w:ascii="楷体_GB2312" w:hAnsi="楷体_GB2312" w:eastAsia="楷体_GB2312" w:cs="楷体_GB2312"/>
          <w:sz w:val="24"/>
        </w:rPr>
      </w:pPr>
      <w:r>
        <w:rPr>
          <w:rFonts w:hint="eastAsia" w:ascii="楷体_GB2312" w:hAnsi="楷体_GB2312" w:eastAsia="楷体_GB2312" w:cs="楷体_GB2312"/>
          <w:sz w:val="24"/>
        </w:rPr>
        <w:t xml:space="preserve">本报告基于2017-2018年度3次河南省农村调研，总结了当前我省农村医疗贫困问题的总体状况：一是重大疾病医疗费用支出是造成农民医疗贫困的典型因素；二是慢性疾病的长期费用负担是造成河南农民医疗贫困的重要因素；三是不断高涨的医疗费用使农民放弃治疗、消极治疗是医疗贫困的长期表现。之所以出现这种状况，主要原因在于医疗的支出型贫困，同时慢性疾病是我省农村医疗贫困持续存在的主要因素，再加上当前医疗保障制度的不完善，“因病致贫”、“因病返贫”、“因病滞贫”并没有得到杜绝。针对这些问题，本报告认为宜从以下三方面着手改善当前问题：一是采取针对性的政策提高农民的可支配性收入，以满足其医疗服务购买需求，提高农民的医疗购买力水平是根本对策；二是做好医疗保障制度的内部有效衔接，改变险助脱节造成的医疗贫困问题；三是改变静态收入为标准的扶贫机制，从动态收支平衡的角度扶持隐性医疗贫困农民。 </w:t>
      </w:r>
    </w:p>
    <w:p w14:paraId="4D58B354">
      <w:pPr>
        <w:widowControl/>
        <w:jc w:val="left"/>
        <w:rPr>
          <w:rFonts w:ascii="黑体" w:hAnsi="黑体" w:eastAsia="黑体"/>
          <w:b/>
          <w:bCs/>
          <w:kern w:val="0"/>
          <w:sz w:val="32"/>
          <w:szCs w:val="32"/>
        </w:rPr>
      </w:pPr>
      <w:r>
        <w:rPr>
          <w:rFonts w:ascii="黑体" w:hAnsi="黑体" w:eastAsia="黑体"/>
          <w:b/>
          <w:bCs/>
          <w:kern w:val="0"/>
          <w:sz w:val="32"/>
          <w:szCs w:val="32"/>
        </w:rPr>
        <w:br w:type="page"/>
      </w:r>
    </w:p>
    <w:p w14:paraId="6D0EFE85">
      <w:pPr>
        <w:adjustRightInd w:val="0"/>
        <w:snapToGrid w:val="0"/>
        <w:spacing w:after="312" w:afterLines="100"/>
        <w:jc w:val="center"/>
        <w:rPr>
          <w:rFonts w:ascii="黑体" w:hAnsi="黑体" w:eastAsia="黑体"/>
          <w:b/>
          <w:bCs/>
          <w:kern w:val="0"/>
          <w:sz w:val="32"/>
          <w:szCs w:val="32"/>
        </w:rPr>
      </w:pPr>
      <w:r>
        <w:rPr>
          <w:rFonts w:hint="eastAsia" w:ascii="黑体" w:hAnsi="黑体" w:eastAsia="黑体"/>
          <w:b/>
          <w:bCs/>
          <w:kern w:val="0"/>
          <w:sz w:val="32"/>
          <w:szCs w:val="32"/>
        </w:rPr>
        <w:t>河南省农村医疗贫困现状调查与对策建议</w:t>
      </w:r>
    </w:p>
    <w:p w14:paraId="68716854">
      <w:pPr>
        <w:adjustRightInd w:val="0"/>
        <w:snapToGrid w:val="0"/>
        <w:spacing w:after="312" w:afterLines="100"/>
        <w:jc w:val="center"/>
        <w:rPr>
          <w:rFonts w:hint="default" w:ascii="黑体" w:hAnsi="黑体" w:eastAsia="黑体"/>
          <w:b/>
          <w:bCs/>
          <w:kern w:val="0"/>
          <w:sz w:val="32"/>
          <w:szCs w:val="32"/>
          <w:lang w:val="en-US" w:eastAsia="zh-CN"/>
        </w:rPr>
      </w:pPr>
      <w:r>
        <w:rPr>
          <w:rFonts w:hint="eastAsia" w:ascii="黑体" w:hAnsi="黑体" w:eastAsia="黑体"/>
          <w:b/>
          <w:bCs/>
          <w:kern w:val="0"/>
          <w:sz w:val="32"/>
          <w:szCs w:val="32"/>
          <w:lang w:val="en-US" w:eastAsia="zh-CN"/>
        </w:rPr>
        <w:t>XXX</w:t>
      </w:r>
      <w:bookmarkStart w:id="43" w:name="_GoBack"/>
      <w:bookmarkEnd w:id="43"/>
    </w:p>
    <w:p w14:paraId="5A089181">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农村贫困率发生较高的原因多数是因为家庭成员患大病重病或慢性疾病，使医药支出大幅增长，而家庭总收入并没有同时相应增长，以及因疾病而无法工作导致收入中断或下降，家庭支出超过了收入。在新型农村合作医疗制度、大病医疗保险、医疗救助等多层次医疗保障下，农村医疗贫困问题仍然存在，呈现出原因复杂性和解决方式综合性的特点，解决这部分群众的医疗贫困问题，是我国完成2025年贫困人口脱贫的关键所在。河南省作为农业大省，农村空间跨度大、人口分布广、基数大，医疗贫困的原因千差万别，体现出一定的共性。本报告通过2017-2018年度连续3次的农村实地调研，对160户、500多位问卷调查对象进行了数据分析，并对其中具有典型代表性的6户对象进行了半控制式二次深入访谈，在此基础上阐释了河南省农村医疗贫困的总体状况、原因并提出了对策建议。</w:t>
      </w:r>
    </w:p>
    <w:p w14:paraId="02D520F3">
      <w:pPr>
        <w:spacing w:line="360" w:lineRule="auto"/>
        <w:ind w:firstLine="562" w:firstLineChars="200"/>
        <w:rPr>
          <w:rFonts w:cs="黑体" w:asciiTheme="minorEastAsia" w:hAnsiTheme="minorEastAsia"/>
          <w:b/>
          <w:kern w:val="0"/>
          <w:sz w:val="28"/>
          <w:szCs w:val="28"/>
        </w:rPr>
      </w:pPr>
      <w:r>
        <w:rPr>
          <w:rFonts w:hint="eastAsia" w:cs="黑体" w:asciiTheme="minorEastAsia" w:hAnsiTheme="minorEastAsia"/>
          <w:b/>
          <w:kern w:val="0"/>
          <w:sz w:val="28"/>
          <w:szCs w:val="28"/>
        </w:rPr>
        <w:t>一、总体状况</w:t>
      </w:r>
    </w:p>
    <w:p w14:paraId="4020B076">
      <w:pPr>
        <w:spacing w:line="360" w:lineRule="auto"/>
        <w:ind w:firstLine="562" w:firstLineChars="200"/>
        <w:outlineLvl w:val="1"/>
        <w:rPr>
          <w:rFonts w:ascii="仿宋_GB2312" w:hAnsi="黑体" w:eastAsia="仿宋_GB2312" w:cs="黑体"/>
          <w:b/>
          <w:kern w:val="0"/>
          <w:sz w:val="28"/>
          <w:szCs w:val="28"/>
        </w:rPr>
      </w:pPr>
      <w:bookmarkStart w:id="1" w:name="_Toc7317"/>
      <w:bookmarkStart w:id="2" w:name="_Toc28457"/>
      <w:bookmarkStart w:id="3" w:name="_Toc32091"/>
      <w:bookmarkStart w:id="4" w:name="_Toc23682"/>
      <w:bookmarkStart w:id="5" w:name="_Toc24976"/>
      <w:bookmarkStart w:id="6" w:name="_Toc9647"/>
      <w:r>
        <w:rPr>
          <w:rFonts w:hint="eastAsia" w:ascii="仿宋_GB2312" w:hAnsi="黑体" w:eastAsia="仿宋_GB2312" w:cs="黑体"/>
          <w:b/>
          <w:kern w:val="0"/>
          <w:sz w:val="28"/>
          <w:szCs w:val="28"/>
        </w:rPr>
        <w:t>（一）重大疾病医疗费用支出是造成农民医疗贫困的典型因素</w:t>
      </w:r>
    </w:p>
    <w:p w14:paraId="02A8A508">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2009年实施“新医改”以来，政府主导和公益性方向的改革进展加快，全民医疗保险制度基本建立，城乡居民医疗保险制度的实施，在一定程度上加强了基层医疗机构服务能力的提升，硬件设施明显改善，但以药养医抵消了基层医改和基本医改的效果，群众负担没有减轻，“医改成效不彰”。在当前经济发展新常态下，农民外出务工的收入不稳定性显著，农产品价格的持续下跌又进一步恶化了农民收入状况。医疗费用的快速上涨，超过了农民实际收入的增加幅度，造成农民生活水平下降，进入到“贫困”行列，这种现象称之为“医疗费用支出型贫困”，但以往我们在研究医疗贫困问题时对此现象关注较少，城乡居民医疗保险的设计初衷在于保基本、抓大放小，作为城乡居民基本医疗保险的补充，重大疾病医疗保险对农村居民的医疗费用进行二次报销，在一定程度上减轻了农村居民的医疗费用负担，但对于医疗费用支出性贫困问题，医疗救助并没有相应的制度安排，“因病致贫、因病返贫”现象并没有得到根本遏制。</w:t>
      </w:r>
    </w:p>
    <w:bookmarkEnd w:id="1"/>
    <w:bookmarkEnd w:id="2"/>
    <w:bookmarkEnd w:id="3"/>
    <w:bookmarkEnd w:id="4"/>
    <w:bookmarkEnd w:id="5"/>
    <w:bookmarkEnd w:id="6"/>
    <w:p w14:paraId="409EEB5A">
      <w:pPr>
        <w:numPr>
          <w:ilvl w:val="0"/>
          <w:numId w:val="1"/>
        </w:numPr>
        <w:spacing w:line="360" w:lineRule="auto"/>
        <w:ind w:firstLine="562" w:firstLineChars="200"/>
        <w:outlineLvl w:val="1"/>
        <w:rPr>
          <w:rFonts w:ascii="仿宋_GB2312" w:hAnsi="黑体" w:eastAsia="仿宋_GB2312" w:cs="黑体"/>
          <w:b/>
          <w:kern w:val="0"/>
          <w:sz w:val="28"/>
          <w:szCs w:val="28"/>
        </w:rPr>
      </w:pPr>
      <w:r>
        <w:rPr>
          <w:rFonts w:hint="eastAsia" w:ascii="仿宋_GB2312" w:hAnsi="黑体" w:eastAsia="仿宋_GB2312" w:cs="黑体"/>
          <w:b/>
          <w:kern w:val="0"/>
          <w:sz w:val="28"/>
          <w:szCs w:val="28"/>
        </w:rPr>
        <w:t xml:space="preserve">慢性疾病的长期费用负担是造成河南农民医疗贫困的重要因素 </w:t>
      </w:r>
    </w:p>
    <w:p w14:paraId="42F56B63">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调查发现，慢性疾病在河南农村也呈现出高发态势，其发病率早在2011年已接近于城市居民，患病率已高于城市。慢性病有其特殊性，长期医药费用支出是被访谈对象面临的重要负担，城乡居民医疗保险对于慢性病的报销等支持力度较低，同时慢性病患者无法从事收入较高的重体力劳动或者外出打工，直接影响了其生活质量的提高和疾病的治疗，与一般性疾病相比，这是重大疾病之后对农民医疗贫困影响最大的因素，也直接影响到农民患者的治疗积极性，“拖”、“认命”往往是其共同的心理活动。</w:t>
      </w:r>
    </w:p>
    <w:p w14:paraId="70982D45">
      <w:pPr>
        <w:spacing w:line="360" w:lineRule="auto"/>
        <w:ind w:firstLine="562" w:firstLineChars="200"/>
        <w:outlineLvl w:val="1"/>
        <w:rPr>
          <w:rFonts w:ascii="仿宋_GB2312" w:hAnsi="黑体" w:eastAsia="仿宋_GB2312" w:cs="黑体"/>
          <w:b/>
          <w:kern w:val="0"/>
          <w:sz w:val="28"/>
          <w:szCs w:val="28"/>
        </w:rPr>
      </w:pPr>
      <w:r>
        <w:rPr>
          <w:rFonts w:hint="eastAsia" w:ascii="仿宋_GB2312" w:hAnsi="黑体" w:eastAsia="仿宋_GB2312" w:cs="黑体"/>
          <w:b/>
          <w:kern w:val="0"/>
          <w:sz w:val="28"/>
          <w:szCs w:val="28"/>
        </w:rPr>
        <w:t>（三）不断高涨的医疗费用使农民放弃治疗、消极治疗，是医疗贫困的长期表现</w:t>
      </w:r>
    </w:p>
    <w:p w14:paraId="42800495">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医疗费用上涨过快，超过农民的实际负担，“看不起病”、“不看病”的现象在被调查对象中仍然具有普遍性。问卷调查和访谈中发现，对美好生活的向往是广大农民的心声，农民也想分享社会发展的成果，但一部分农民群体，由于家庭或者其他方面的原因，难以负担较为高昂的医药费用，或可以预见医疗费用对自己以及家庭带来的巨大的经济压力，对于疾病采取了消极治疗的心理以及实际行动。这个结果反映出部分农民在面临疾病时的艰难抉择，他们构成了我国农村医疗贫困的一种现象，也反映出了医疗贫困的深层次原因，即医疗费用仍然是制约农民就医、保障健康权的障碍因素。</w:t>
      </w:r>
    </w:p>
    <w:p w14:paraId="55C331A0">
      <w:pPr>
        <w:spacing w:line="360" w:lineRule="auto"/>
        <w:ind w:firstLine="562" w:firstLineChars="200"/>
        <w:rPr>
          <w:rFonts w:cs="黑体" w:asciiTheme="minorEastAsia" w:hAnsiTheme="minorEastAsia"/>
          <w:b/>
          <w:kern w:val="0"/>
          <w:sz w:val="28"/>
          <w:szCs w:val="28"/>
        </w:rPr>
      </w:pPr>
      <w:r>
        <w:rPr>
          <w:rFonts w:hint="eastAsia" w:cs="黑体" w:asciiTheme="minorEastAsia" w:hAnsiTheme="minorEastAsia"/>
          <w:b/>
          <w:kern w:val="0"/>
          <w:sz w:val="28"/>
          <w:szCs w:val="28"/>
        </w:rPr>
        <w:t>二、形成原因</w:t>
      </w:r>
    </w:p>
    <w:p w14:paraId="6A7997A0">
      <w:pPr>
        <w:spacing w:line="360" w:lineRule="auto"/>
        <w:ind w:firstLine="560" w:firstLineChars="200"/>
        <w:rPr>
          <w:rFonts w:ascii="仿宋" w:hAnsi="仿宋" w:eastAsia="仿宋" w:cs="仿宋"/>
          <w:sz w:val="28"/>
          <w:szCs w:val="28"/>
        </w:rPr>
      </w:pPr>
      <w:bookmarkStart w:id="7" w:name="_Toc22566"/>
      <w:bookmarkStart w:id="8" w:name="_Toc17459"/>
      <w:bookmarkStart w:id="9" w:name="_Toc20033"/>
      <w:bookmarkStart w:id="10" w:name="_Toc3889"/>
      <w:bookmarkStart w:id="11" w:name="_Toc27969"/>
      <w:bookmarkStart w:id="12" w:name="_Toc7056"/>
      <w:bookmarkStart w:id="13" w:name="_Toc833"/>
      <w:r>
        <w:rPr>
          <w:rFonts w:hint="eastAsia" w:ascii="仿宋" w:hAnsi="仿宋" w:eastAsia="仿宋" w:cs="仿宋"/>
          <w:sz w:val="28"/>
          <w:szCs w:val="28"/>
        </w:rPr>
        <w:t>通过调查数据分析和对典型医疗贫困农户的深入访谈，结合已有的研究成果，我们发现造成农村医疗贫困的原因既有我们一直强调的医疗制度性因素，又存在收入支出之间发生偏离所造成的潜在型的贫困问题，整体来看，可以将其原因归纳为以下几点：</w:t>
      </w:r>
    </w:p>
    <w:p w14:paraId="1E018E32">
      <w:pPr>
        <w:spacing w:line="360" w:lineRule="auto"/>
        <w:ind w:firstLine="562" w:firstLineChars="200"/>
        <w:rPr>
          <w:rFonts w:ascii="仿宋_GB2312" w:hAnsi="黑体" w:eastAsia="仿宋_GB2312" w:cs="黑体"/>
          <w:b/>
          <w:color w:val="FF0000"/>
          <w:kern w:val="0"/>
          <w:sz w:val="28"/>
          <w:szCs w:val="28"/>
        </w:rPr>
      </w:pPr>
      <w:r>
        <w:rPr>
          <w:rFonts w:hint="eastAsia" w:ascii="仿宋_GB2312" w:hAnsi="黑体" w:eastAsia="仿宋_GB2312" w:cs="黑体"/>
          <w:b/>
          <w:kern w:val="0"/>
          <w:sz w:val="28"/>
          <w:szCs w:val="28"/>
        </w:rPr>
        <w:t>（一）</w:t>
      </w:r>
      <w:bookmarkEnd w:id="7"/>
      <w:bookmarkEnd w:id="8"/>
      <w:bookmarkEnd w:id="9"/>
      <w:bookmarkEnd w:id="10"/>
      <w:bookmarkEnd w:id="11"/>
      <w:bookmarkEnd w:id="12"/>
      <w:bookmarkEnd w:id="13"/>
      <w:r>
        <w:rPr>
          <w:rFonts w:hint="eastAsia" w:ascii="仿宋_GB2312" w:hAnsi="黑体" w:eastAsia="仿宋_GB2312" w:cs="黑体"/>
          <w:b/>
          <w:kern w:val="0"/>
          <w:sz w:val="28"/>
          <w:szCs w:val="28"/>
        </w:rPr>
        <w:t>支出型贫困为河南农村医疗贫困的主要原因</w:t>
      </w:r>
    </w:p>
    <w:p w14:paraId="50DCA233">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如果现有政策环境不变，到2020年，我国医疗费用将依然保持12.08～18.16%的年均增速，其增速将明显高于社会经济发展速度，且会加重目前存在的社会问题。从“家庭灾难性卫生支出发生率”可以看出，1991年该指标为10.73%，2015年达到13.02%，2020年将为14.27%，即在既定保障水平下，随着医疗费用的过快增长，医保的费用风险分担水平受到挑战，百姓就医公平性日益恶化。最近几年，医疗费用的增长幅度一直高于经济发展速度，而我国现阶段农民收入增加速度又低于社会经济发展速度，这就造成农民医疗费用实际负担水平更高。从访谈中我们也发现了这一点，特别是对收入处于中低等水平的农民来说，疾病费用对生活的影响巨大，造成该部分群体生活质量急剧下降，“因病致贫”现象仍然突出。基于当前医保救济及国家扶贫政策，该部分群体并不能从制度上享受相应的减免或救助政策，属于“潜在型贫困”，这也是国家和政府在制定医疗减免以及扶贫政策时不可忽视的潜在问题，如何避免这种支出性贫困，保障农民的健康权和基本生活权，是当前面临的一项政策议题。</w:t>
      </w:r>
    </w:p>
    <w:p w14:paraId="60F80F78">
      <w:pPr>
        <w:spacing w:line="360" w:lineRule="auto"/>
        <w:ind w:firstLine="560" w:firstLineChars="200"/>
        <w:outlineLvl w:val="1"/>
        <w:rPr>
          <w:rFonts w:ascii="仿宋_GB2312" w:hAnsi="黑体" w:eastAsia="仿宋_GB2312" w:cs="黑体"/>
          <w:b/>
          <w:kern w:val="0"/>
          <w:sz w:val="28"/>
          <w:szCs w:val="28"/>
        </w:rPr>
      </w:pPr>
      <w:bookmarkStart w:id="14" w:name="_Toc15446"/>
      <w:bookmarkStart w:id="15" w:name="_Toc19661"/>
      <w:bookmarkStart w:id="16" w:name="_Toc18909"/>
      <w:bookmarkStart w:id="17" w:name="_Toc27979"/>
      <w:bookmarkStart w:id="18" w:name="_Toc30190"/>
      <w:bookmarkStart w:id="19" w:name="_Toc2950"/>
      <w:bookmarkStart w:id="20" w:name="_Toc3013"/>
      <w:r>
        <w:rPr>
          <w:rFonts w:hint="eastAsia" w:ascii="仿宋" w:hAnsi="仿宋" w:eastAsia="仿宋" w:cs="仿宋"/>
          <w:sz w:val="28"/>
          <w:szCs w:val="28"/>
        </w:rPr>
        <w:t xml:space="preserve"> </w:t>
      </w:r>
      <w:r>
        <w:rPr>
          <w:rFonts w:hint="eastAsia" w:ascii="仿宋_GB2312" w:hAnsi="黑体" w:eastAsia="仿宋_GB2312" w:cs="黑体"/>
          <w:b/>
          <w:kern w:val="0"/>
          <w:sz w:val="28"/>
          <w:szCs w:val="28"/>
        </w:rPr>
        <w:t>（二）</w:t>
      </w:r>
      <w:bookmarkEnd w:id="14"/>
      <w:bookmarkEnd w:id="15"/>
      <w:bookmarkEnd w:id="16"/>
      <w:bookmarkEnd w:id="17"/>
      <w:bookmarkEnd w:id="18"/>
      <w:bookmarkEnd w:id="19"/>
      <w:bookmarkEnd w:id="20"/>
      <w:r>
        <w:rPr>
          <w:rFonts w:hint="eastAsia" w:ascii="仿宋_GB2312" w:hAnsi="黑体" w:eastAsia="仿宋_GB2312" w:cs="黑体"/>
          <w:b/>
          <w:kern w:val="0"/>
          <w:sz w:val="28"/>
          <w:szCs w:val="28"/>
        </w:rPr>
        <w:t>慢性疾病是河南农村医疗贫困持续存在的主要因素</w:t>
      </w:r>
    </w:p>
    <w:p w14:paraId="51D517B8">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从问卷调查和访谈结果来看，慢性疾病患者家庭生活水平呈现整体较低的现象，慢性疾病造成家庭收入较低、医疗费用长期存在，这两个因素交织形成了此部分群体的长期医疗贫困问题。有研究表明慢性病疾病治疗费用在总医疗费用中的比例较高，尤其是中低收入家庭承担着更为严重的疾病费用负担，农村慢性病患者群的相对疾病经济风险是总样本人数的2.5倍之多。调查访谈中还发现，被调查农村地区的慢性病患者呈现增加的趋势，但政府相关部门并未做好慢性病预防、经济风险防控等工作，农村居民面临的慢性病风险和疾病负担短期内并不会降低或减少，由此造成的医疗贫困问题会长期存在。</w:t>
      </w:r>
    </w:p>
    <w:p w14:paraId="49CDEB0D">
      <w:pPr>
        <w:spacing w:line="360" w:lineRule="auto"/>
        <w:ind w:firstLine="562" w:firstLineChars="200"/>
        <w:outlineLvl w:val="1"/>
        <w:rPr>
          <w:rFonts w:ascii="仿宋_GB2312" w:hAnsi="黑体" w:eastAsia="仿宋_GB2312" w:cs="黑体"/>
          <w:b/>
          <w:kern w:val="0"/>
          <w:sz w:val="28"/>
          <w:szCs w:val="28"/>
        </w:rPr>
      </w:pPr>
      <w:bookmarkStart w:id="21" w:name="_Toc18253"/>
      <w:bookmarkStart w:id="22" w:name="_Toc30003"/>
      <w:bookmarkStart w:id="23" w:name="_Toc32256"/>
      <w:bookmarkStart w:id="24" w:name="_Toc18416"/>
      <w:bookmarkStart w:id="25" w:name="_Toc31269"/>
      <w:bookmarkStart w:id="26" w:name="_Toc1416"/>
      <w:bookmarkStart w:id="27" w:name="_Toc20039"/>
      <w:r>
        <w:rPr>
          <w:rFonts w:hint="eastAsia" w:ascii="仿宋_GB2312" w:hAnsi="黑体" w:eastAsia="仿宋_GB2312" w:cs="黑体"/>
          <w:b/>
          <w:kern w:val="0"/>
          <w:sz w:val="28"/>
          <w:szCs w:val="28"/>
        </w:rPr>
        <w:t>（三）</w:t>
      </w:r>
      <w:bookmarkEnd w:id="21"/>
      <w:bookmarkEnd w:id="22"/>
      <w:bookmarkEnd w:id="23"/>
      <w:bookmarkEnd w:id="24"/>
      <w:bookmarkEnd w:id="25"/>
      <w:bookmarkEnd w:id="26"/>
      <w:bookmarkEnd w:id="27"/>
      <w:r>
        <w:rPr>
          <w:rFonts w:hint="eastAsia" w:ascii="仿宋_GB2312" w:hAnsi="黑体" w:eastAsia="仿宋_GB2312" w:cs="黑体"/>
          <w:b/>
          <w:kern w:val="0"/>
          <w:sz w:val="28"/>
          <w:szCs w:val="28"/>
        </w:rPr>
        <w:t>医疗保障制度的不完善是河南农村医疗贫困的制度性原因</w:t>
      </w:r>
    </w:p>
    <w:p w14:paraId="6548C16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河南农村基本建立起居民医保、重大疾病医疗保险、医疗救助等全方位多层次的医疗保障制度，但该医疗保障制度在实际运营过程中存在的问题导致农村医疗贫困问题的产生。如城乡居民医保制度在保障农村居民基本医疗权的同时，实际报销比例低于农民实际承担水平，实际诊疗过程中不符合报销范围目录内的自费较高；重大疾病医疗保险作为居民医保的有效补充，强化了医保对于高费用段自我负担的保障力度，但在实际执行过程中，医疗救助享受重大疾病医疗保险报销的范围较低，其原因在于重大疾病医疗保险的起付范围以当地居民人均可支配收入为标准，不同收入水平的家庭对于起付标准的感受敏感度不同，实际应该享有医疗救助的家庭被阻挡在了重大疾病医疗保险的门槛之外，造成事实上的医疗贫困问题。</w:t>
      </w:r>
    </w:p>
    <w:p w14:paraId="27DBBC84">
      <w:pPr>
        <w:spacing w:line="360" w:lineRule="auto"/>
        <w:ind w:firstLine="562" w:firstLineChars="200"/>
        <w:rPr>
          <w:rFonts w:cs="黑体" w:asciiTheme="minorEastAsia" w:hAnsiTheme="minorEastAsia"/>
          <w:b/>
          <w:kern w:val="0"/>
          <w:sz w:val="28"/>
          <w:szCs w:val="28"/>
        </w:rPr>
      </w:pPr>
      <w:r>
        <w:rPr>
          <w:rFonts w:hint="eastAsia" w:cs="黑体" w:asciiTheme="minorEastAsia" w:hAnsiTheme="minorEastAsia"/>
          <w:b/>
          <w:kern w:val="0"/>
          <w:sz w:val="28"/>
          <w:szCs w:val="28"/>
        </w:rPr>
        <w:t>三、对策建议</w:t>
      </w:r>
    </w:p>
    <w:p w14:paraId="2CAD3B3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在调查和访谈阶段，我们也真切地发现，调查地区农村医疗贫困原因复杂，它是两种或两种以上的原因综合导致的，并且表现形式多样化，很多医疗贫困问题表现并不显著，特点也不突出。根据精准扶贫和医疗保障反贫困理论，要解决医疗贫困问题，必须遵循“医疗消费—医疗贫困—医疗保障反贫困”的解决路径，即“就医选择—医疗费用支出—灾难性医疗支出返贫—医疗费用支出致贫—基本医疗保险—大病保险—医疗救助—其他补充保障”，在这种多维一体的政策支持下，才有可能解决河南农村医疗贫困问题，根据具体的调研结果来讲，宜做好以下三方面工作。</w:t>
      </w:r>
    </w:p>
    <w:p w14:paraId="713E33A7">
      <w:pPr>
        <w:spacing w:line="360" w:lineRule="auto"/>
        <w:ind w:firstLine="562" w:firstLineChars="200"/>
        <w:outlineLvl w:val="1"/>
        <w:rPr>
          <w:rFonts w:ascii="仿宋_GB2312" w:hAnsi="黑体" w:eastAsia="仿宋_GB2312" w:cs="黑体"/>
          <w:b/>
          <w:kern w:val="0"/>
          <w:sz w:val="28"/>
          <w:szCs w:val="28"/>
        </w:rPr>
      </w:pPr>
      <w:bookmarkStart w:id="28" w:name="_Toc11574"/>
      <w:bookmarkStart w:id="29" w:name="_Toc10854"/>
      <w:bookmarkStart w:id="30" w:name="_Toc26329"/>
      <w:bookmarkStart w:id="31" w:name="_Toc13079"/>
      <w:bookmarkStart w:id="32" w:name="_Toc27258"/>
      <w:r>
        <w:rPr>
          <w:rFonts w:hint="eastAsia" w:ascii="仿宋_GB2312" w:hAnsi="黑体" w:eastAsia="仿宋_GB2312" w:cs="黑体"/>
          <w:b/>
          <w:kern w:val="0"/>
          <w:sz w:val="28"/>
          <w:szCs w:val="28"/>
        </w:rPr>
        <w:t>（一）</w:t>
      </w:r>
      <w:bookmarkEnd w:id="28"/>
      <w:bookmarkEnd w:id="29"/>
      <w:bookmarkEnd w:id="30"/>
      <w:bookmarkEnd w:id="31"/>
      <w:bookmarkEnd w:id="32"/>
      <w:r>
        <w:rPr>
          <w:rFonts w:hint="eastAsia" w:ascii="仿宋_GB2312" w:hAnsi="黑体" w:eastAsia="仿宋_GB2312" w:cs="黑体"/>
          <w:b/>
          <w:kern w:val="0"/>
          <w:sz w:val="28"/>
          <w:szCs w:val="28"/>
        </w:rPr>
        <w:t>采取针对性的政策提高农民的可支配性收入，以满足其医疗服务购买需求，提高农民的医疗购买力水平是根本之策</w:t>
      </w:r>
    </w:p>
    <w:p w14:paraId="251A3B53">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随着社会经济的发展和医疗技术的进步、老龄化的程度加深带来的医疗费用的上涨，从供需结构上来讲，医疗费用下降的空间不大；医疗保障作为保障社会成员基本医疗需求的制度安排，从逆向选择和道德风险的规避上也要求农民必须负担一定比例的医疗费用。通过增加农民可支配收入来提高其对医疗产品的购买力是解决农村医疗贫困的必由之路，河南农村地域广、生产生活条件多样，当地政府应根据实际情况推动符合本地区农村经济发展的生产政策，如集体性外出务工、就地工作机会的创造等，千方百计提高农民收入。</w:t>
      </w:r>
    </w:p>
    <w:p w14:paraId="2AFE5D4B">
      <w:pPr>
        <w:spacing w:line="360" w:lineRule="auto"/>
        <w:ind w:firstLine="562" w:firstLineChars="200"/>
        <w:outlineLvl w:val="1"/>
        <w:rPr>
          <w:rFonts w:ascii="仿宋_GB2312" w:hAnsi="黑体" w:eastAsia="仿宋_GB2312" w:cs="黑体"/>
          <w:b/>
          <w:kern w:val="0"/>
          <w:sz w:val="28"/>
          <w:szCs w:val="28"/>
        </w:rPr>
      </w:pPr>
      <w:bookmarkStart w:id="33" w:name="_Toc26064"/>
      <w:bookmarkStart w:id="34" w:name="_Toc21278"/>
      <w:bookmarkStart w:id="35" w:name="_Toc25449"/>
      <w:bookmarkStart w:id="36" w:name="_Toc21303"/>
      <w:bookmarkStart w:id="37" w:name="_Toc12691"/>
      <w:r>
        <w:rPr>
          <w:rFonts w:hint="eastAsia" w:ascii="仿宋_GB2312" w:hAnsi="黑体" w:eastAsia="仿宋_GB2312" w:cs="黑体"/>
          <w:b/>
          <w:kern w:val="0"/>
          <w:sz w:val="28"/>
          <w:szCs w:val="28"/>
        </w:rPr>
        <w:t>（二）</w:t>
      </w:r>
      <w:bookmarkEnd w:id="33"/>
      <w:bookmarkEnd w:id="34"/>
      <w:bookmarkEnd w:id="35"/>
      <w:bookmarkEnd w:id="36"/>
      <w:bookmarkEnd w:id="37"/>
      <w:r>
        <w:rPr>
          <w:rFonts w:hint="eastAsia" w:ascii="仿宋_GB2312" w:hAnsi="黑体" w:eastAsia="仿宋_GB2312" w:cs="黑体"/>
          <w:b/>
          <w:kern w:val="0"/>
          <w:sz w:val="28"/>
          <w:szCs w:val="28"/>
        </w:rPr>
        <w:t>做好医疗保障制度的内部有效衔接，改变险助脱节造成的医疗贫困问题</w:t>
      </w:r>
    </w:p>
    <w:p w14:paraId="500B4B62">
      <w:pPr>
        <w:spacing w:line="360" w:lineRule="auto"/>
        <w:ind w:firstLine="560" w:firstLineChars="200"/>
        <w:outlineLvl w:val="1"/>
        <w:rPr>
          <w:rFonts w:ascii="仿宋" w:hAnsi="仿宋" w:eastAsia="仿宋" w:cs="仿宋"/>
          <w:sz w:val="28"/>
          <w:szCs w:val="28"/>
        </w:rPr>
      </w:pPr>
      <w:bookmarkStart w:id="38" w:name="_Toc27830"/>
      <w:bookmarkStart w:id="39" w:name="_Toc31205"/>
      <w:bookmarkStart w:id="40" w:name="_Toc14695"/>
      <w:bookmarkStart w:id="41" w:name="_Toc13565"/>
      <w:bookmarkStart w:id="42" w:name="_Toc19966"/>
      <w:r>
        <w:rPr>
          <w:rFonts w:hint="eastAsia" w:ascii="仿宋" w:hAnsi="仿宋" w:eastAsia="仿宋" w:cs="仿宋"/>
          <w:sz w:val="28"/>
          <w:szCs w:val="28"/>
        </w:rPr>
        <w:t>调查发现，基本医疗保险、重大疾病医疗保险和医疗救助脱节、制度失衡是当前农村“看病难、看病贵”的重要原因，作为保障广大农村居民医疗权、健康权的基本制度安排，三者之间应改变以居民人均收入为标准的衔接方式，通过建立家庭实际收支平衡为标准的机制设计，在制度上真正发挥医保在解决医疗贫困问题的支撑作用，真正降低农民医疗费用过度支出造成的“支出型贫困”问题；建立慢性病预防及长期治疗支持机制，简化慢性病医疗费用报销手续，提高报销标准，阻断慢性病长期费用支出造成的隐形医疗贫困问题。</w:t>
      </w:r>
    </w:p>
    <w:p w14:paraId="594BE18F">
      <w:pPr>
        <w:spacing w:line="360" w:lineRule="auto"/>
        <w:ind w:firstLine="562" w:firstLineChars="200"/>
        <w:outlineLvl w:val="1"/>
        <w:rPr>
          <w:rFonts w:ascii="仿宋_GB2312" w:hAnsi="黑体" w:eastAsia="仿宋_GB2312" w:cs="黑体"/>
          <w:b/>
          <w:kern w:val="0"/>
          <w:sz w:val="28"/>
          <w:szCs w:val="28"/>
        </w:rPr>
      </w:pPr>
      <w:r>
        <w:rPr>
          <w:rFonts w:hint="eastAsia" w:ascii="仿宋_GB2312" w:hAnsi="黑体" w:eastAsia="仿宋_GB2312" w:cs="黑体"/>
          <w:b/>
          <w:kern w:val="0"/>
          <w:sz w:val="28"/>
          <w:szCs w:val="28"/>
        </w:rPr>
        <w:t>（三）</w:t>
      </w:r>
      <w:bookmarkEnd w:id="38"/>
      <w:bookmarkEnd w:id="39"/>
      <w:bookmarkEnd w:id="40"/>
      <w:bookmarkEnd w:id="41"/>
      <w:bookmarkEnd w:id="42"/>
      <w:r>
        <w:rPr>
          <w:rFonts w:hint="eastAsia" w:ascii="仿宋_GB2312" w:hAnsi="黑体" w:eastAsia="仿宋_GB2312" w:cs="黑体"/>
          <w:b/>
          <w:kern w:val="0"/>
          <w:sz w:val="28"/>
          <w:szCs w:val="28"/>
        </w:rPr>
        <w:t>改变静态收入为标准的扶贫机制，从动态收支平衡的角度扶持隐性医疗贫困农民</w:t>
      </w:r>
    </w:p>
    <w:p w14:paraId="7E87EF32">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政府在扶贫过程中既要保证显性贫困对象的脱贫问题，更要重视医疗问题导致的隐形贫困问题。当前扶贫政策以静态收入为标准，对于动态性的收支不平衡形成的贫困特别是医疗贫困问题支持匮乏，“一人得病，全家贫穷”是这种动态贫困的典型表现。政府应该在解决贫困的对策中引入“收支平衡”的甄别机制，将贫困问题和家庭收支是否平衡联系起来，将农村居民面临的因疾病造成收支不平衡的情况纳入到“脱贫”的对象范围内，在一定的期限内给予医疗救助等方面的支持，保障农民在发生疾病支出型贫困问题时能够使生活质量不出现大的变动，并在这种政策支持下培养其较强的自主发展摆脱支出型贫困的能力。</w:t>
      </w:r>
    </w:p>
    <w:p w14:paraId="319373B5">
      <w:pPr>
        <w:spacing w:line="600" w:lineRule="exact"/>
        <w:ind w:firstLine="562" w:firstLineChars="200"/>
        <w:rPr>
          <w:rFonts w:ascii="仿宋_GB2312" w:hAnsi="宋体" w:eastAsia="仿宋_GB2312" w:cs="宋体"/>
          <w:color w:val="000000"/>
          <w:kern w:val="0"/>
          <w:sz w:val="28"/>
          <w:szCs w:val="28"/>
        </w:rPr>
      </w:pPr>
      <w:r>
        <w:rPr>
          <w:rFonts w:hint="eastAsia" w:ascii="仿宋_GB2312" w:hAnsi="黑体" w:eastAsia="仿宋_GB2312" w:cs="黑体"/>
          <w:b/>
          <w:kern w:val="0"/>
          <w:sz w:val="28"/>
          <w:szCs w:val="28"/>
        </w:rPr>
        <w:t xml:space="preserve"> </w:t>
      </w:r>
    </w:p>
    <w:p w14:paraId="09FEB709">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作者简介：</w:t>
      </w:r>
      <w:r>
        <w:rPr>
          <w:rFonts w:hint="eastAsia" w:ascii="仿宋" w:hAnsi="仿宋" w:eastAsia="仿宋" w:cs="仿宋"/>
          <w:sz w:val="28"/>
          <w:szCs w:val="28"/>
          <w:lang w:val="en-US" w:eastAsia="zh-CN"/>
        </w:rPr>
        <w:t>xxx</w:t>
      </w:r>
      <w:r>
        <w:rPr>
          <w:rFonts w:hint="eastAsia" w:ascii="仿宋" w:hAnsi="仿宋" w:eastAsia="仿宋" w:cs="仿宋"/>
          <w:sz w:val="28"/>
          <w:szCs w:val="28"/>
        </w:rPr>
        <w:t xml:space="preserve">，博士，讲师，郑州轻工业大学社会发展研究中心研究员。 </w:t>
      </w:r>
    </w:p>
    <w:p w14:paraId="7CEBDBCC">
      <w:pPr>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电话：</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邮箱：</w:t>
      </w:r>
    </w:p>
    <w:p w14:paraId="2759F240">
      <w:pPr>
        <w:spacing w:line="600" w:lineRule="exact"/>
        <w:rPr>
          <w:rFonts w:ascii="仿宋" w:hAnsi="仿宋" w:eastAsia="仿宋" w:cs="仿宋"/>
          <w:sz w:val="28"/>
          <w:szCs w:val="28"/>
        </w:rPr>
      </w:pPr>
    </w:p>
    <w:p w14:paraId="103BFCFC">
      <w:pPr>
        <w:spacing w:line="600" w:lineRule="exact"/>
        <w:rPr>
          <w:rFonts w:ascii="仿宋" w:hAnsi="仿宋" w:eastAsia="仿宋" w:cs="仿宋"/>
          <w:sz w:val="28"/>
          <w:szCs w:val="28"/>
        </w:rPr>
      </w:pPr>
    </w:p>
    <w:p w14:paraId="56C76183">
      <w:pPr>
        <w:spacing w:line="600" w:lineRule="exact"/>
        <w:rPr>
          <w:rFonts w:ascii="仿宋" w:hAnsi="仿宋" w:eastAsia="仿宋" w:cs="仿宋"/>
          <w:sz w:val="28"/>
          <w:szCs w:val="28"/>
        </w:rPr>
      </w:pPr>
    </w:p>
    <w:p w14:paraId="42680D9F">
      <w:pPr>
        <w:spacing w:line="600" w:lineRule="exact"/>
        <w:rPr>
          <w:rFonts w:ascii="仿宋" w:hAnsi="仿宋" w:eastAsia="仿宋" w:cs="仿宋"/>
          <w:sz w:val="28"/>
          <w:szCs w:val="28"/>
        </w:rPr>
      </w:pPr>
    </w:p>
    <w:p w14:paraId="51A40DAE">
      <w:pPr>
        <w:spacing w:line="600" w:lineRule="exact"/>
        <w:rPr>
          <w:rFonts w:ascii="仿宋" w:hAnsi="仿宋" w:eastAsia="仿宋" w:cs="仿宋"/>
          <w:sz w:val="28"/>
          <w:szCs w:val="28"/>
        </w:rPr>
      </w:pPr>
    </w:p>
    <w:p w14:paraId="59649344">
      <w:pPr>
        <w:spacing w:line="600" w:lineRule="exact"/>
        <w:rPr>
          <w:rFonts w:ascii="仿宋" w:hAnsi="仿宋" w:eastAsia="仿宋" w:cs="仿宋"/>
          <w:sz w:val="28"/>
          <w:szCs w:val="28"/>
        </w:rPr>
      </w:pPr>
    </w:p>
    <w:p w14:paraId="642FEE9C">
      <w:pPr>
        <w:spacing w:line="600" w:lineRule="exact"/>
        <w:rPr>
          <w:rFonts w:ascii="仿宋" w:hAnsi="仿宋" w:eastAsia="仿宋" w:cs="仿宋"/>
          <w:sz w:val="28"/>
          <w:szCs w:val="28"/>
        </w:rPr>
      </w:pPr>
    </w:p>
    <w:p w14:paraId="6B9F53A4">
      <w:pPr>
        <w:spacing w:line="600" w:lineRule="exact"/>
        <w:rPr>
          <w:rFonts w:ascii="仿宋" w:hAnsi="仿宋" w:eastAsia="仿宋" w:cs="仿宋"/>
          <w:sz w:val="28"/>
          <w:szCs w:val="28"/>
        </w:rPr>
      </w:pPr>
    </w:p>
    <w:p w14:paraId="6C9C943B">
      <w:pPr>
        <w:spacing w:line="360" w:lineRule="auto"/>
        <w:outlineLvl w:val="1"/>
        <w:rPr>
          <w:rFonts w:ascii="仿宋_GB2312" w:hAnsi="黑体" w:eastAsia="仿宋_GB2312" w:cs="黑体"/>
          <w:b/>
          <w:kern w:val="0"/>
          <w:sz w:val="28"/>
          <w:szCs w:val="28"/>
        </w:rPr>
      </w:pPr>
      <w:r>
        <w:rPr>
          <w:rFonts w:hint="eastAsia" w:ascii="仿宋_GB2312" w:hAnsi="黑体" w:eastAsia="仿宋_GB2312" w:cs="黑体"/>
          <w:b/>
          <w:kern w:val="0"/>
          <w:sz w:val="28"/>
          <w:szCs w:val="28"/>
        </w:rPr>
        <w:t>关键词：脱贫攻坚  医疗贫困  制度衔接  甄别机制</w:t>
      </w:r>
    </w:p>
    <w:p w14:paraId="344E3623">
      <w:pPr>
        <w:pStyle w:val="14"/>
        <w:adjustRightInd w:val="0"/>
        <w:snapToGrid w:val="0"/>
        <w:spacing w:line="240" w:lineRule="exact"/>
        <w:rPr>
          <w:sz w:val="24"/>
          <w:szCs w:val="24"/>
        </w:rPr>
      </w:pPr>
      <w:r>
        <mc:AlternateContent>
          <mc:Choice Requires="wps">
            <w:drawing>
              <wp:inline distT="0" distB="0" distL="0" distR="0">
                <wp:extent cx="5358130" cy="6350"/>
                <wp:effectExtent l="9525" t="17145" r="13970" b="14605"/>
                <wp:docPr id="2" name="直线 8"/>
                <wp:cNvGraphicFramePr/>
                <a:graphic xmlns:a="http://schemas.openxmlformats.org/drawingml/2006/main">
                  <a:graphicData uri="http://schemas.microsoft.com/office/word/2010/wordprocessingShape">
                    <wps:wsp>
                      <wps:cNvCnPr>
                        <a:cxnSpLocks noChangeShapeType="1"/>
                      </wps:cNvCnPr>
                      <wps:spPr bwMode="auto">
                        <a:xfrm>
                          <a:off x="0" y="0"/>
                          <a:ext cx="5358130" cy="6350"/>
                        </a:xfrm>
                        <a:prstGeom prst="line">
                          <a:avLst/>
                        </a:prstGeom>
                        <a:noFill/>
                        <a:ln w="15875">
                          <a:solidFill>
                            <a:srgbClr val="FF0000"/>
                          </a:solidFill>
                          <a:round/>
                        </a:ln>
                      </wps:spPr>
                      <wps:bodyPr/>
                    </wps:wsp>
                  </a:graphicData>
                </a:graphic>
              </wp:inline>
            </w:drawing>
          </mc:Choice>
          <mc:Fallback>
            <w:pict>
              <v:line id="直线 8" o:spid="_x0000_s1026" o:spt="20" style="height:0.5pt;width:421.9pt;" filled="f" stroked="t" coordsize="21600,21600" o:gfxdata="UEsDBAoAAAAAAIdO4kAAAAAAAAAAAAAAAAAEAAAAZHJzL1BLAwQUAAAACACHTuJAzhqpT9MAAAAD&#10;AQAADwAAAGRycy9kb3ducmV2LnhtbE2PzU7DMBCE70i8g7VIXFBr90dQQpweQIgbiILU69Zekoh4&#10;HWK3KTw9Cxe4rDSa0ew35foYOnWgIbWRLcymBhSxi77l2sLry/1kBSplZI9dZLLwSQnW1elJiYWP&#10;Iz/TYZNrJSWcCrTQ5NwXWifXUMA0jT2xeG9xCJhFDrX2A45SHjo9N+ZSB2xZPjTY021D7n2zDxb4&#10;6vrBfTxts1vqcYwXi69HnN9Ze342MzegMh3zXxh+8AUdKmHaxT37pDoLMiT/XvFWy4XM2EnIgK5K&#10;/Z+9+gZQSwMEFAAAAAgAh07iQBtoZY7eAQAApQMAAA4AAABkcnMvZTJvRG9jLnhtbK1TS27bMBDd&#10;F+gdCO5j+QOnhmA5CxvuJm0NJDnAmKIsIiSHIGnLPkuv0VU3PU6u0SFlu2m6yaJaECRn5s17b6j5&#10;3dFodpA+KLQVHw2GnEkrsFZ2V/Gnx/XNjLMQwdag0cqKn2Tgd4uPH+adK+UYW9S19IxAbCg7V/E2&#10;RlcWRRCtNBAG6KSlYIPeQKSj3xW1h47QjS7Gw+Ft0aGvnUchQ6DbVR/kZ0T/HkBsGiXkCsXeSBt7&#10;VC81RJIUWuUCX2S2TSNF/NY0QUamK05KY16pCe23aS0Wcyh3HlyrxJkCvIfCG00GlKWmV6gVRGB7&#10;r/6BMkp4DNjEgUBT9EKyI6RiNHzjzUMLTmYtZHVwV9PD/4MVXw8bz1Rd8TFnFgwN/OX7j5efv9gs&#10;edO5UFLK0m58UieO9sHdo3gOzOKyBbuTmePjyVHhKFUUf5WkQ3DUYdt9wZpyYB8xG3VsvEmQZAE7&#10;5nmcrvOQx8gEXU4n09loQqMSFLudTPO4Cigvtc6H+FmiYWlTca1scgtKONyHmLhAeUlJ1xbXSus8&#10;cW1ZR4Sns0/TXBFQqzpFU17wu+1Se3YAejTr9ZC+rIwir9M87m3dd9H2LDxp7V3bYn3a+IshNL1M&#10;5/zS0vN4fc7Vf/6ux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GqlP0wAAAAMBAAAPAAAAAAAA&#10;AAEAIAAAACIAAABkcnMvZG93bnJldi54bWxQSwECFAAUAAAACACHTuJAG2hljt4BAAClAwAADgAA&#10;AAAAAAABACAAAAAiAQAAZHJzL2Uyb0RvYy54bWxQSwUGAAAAAAYABgBZAQAAcgUAAAAA&#10;">
                <v:fill on="f" focussize="0,0"/>
                <v:stroke weight="1.25pt" color="#FF0000" joinstyle="round"/>
                <v:imagedata o:title=""/>
                <o:lock v:ext="edit" aspectratio="f"/>
                <w10:wrap type="none"/>
                <w10:anchorlock/>
              </v:line>
            </w:pict>
          </mc:Fallback>
        </mc:AlternateContent>
      </w:r>
    </w:p>
    <w:p w14:paraId="3DF72787">
      <w:pPr>
        <w:spacing w:line="360" w:lineRule="auto"/>
        <w:rPr>
          <w:rFonts w:ascii="仿宋_GB2312" w:eastAsia="仿宋_GB2312"/>
          <w:sz w:val="28"/>
          <w:szCs w:val="28"/>
        </w:rPr>
      </w:pPr>
      <w:r>
        <w:rPr>
          <w:rFonts w:hint="eastAsia" w:ascii="仿宋_GB2312" w:eastAsia="仿宋_GB2312"/>
          <w:sz w:val="28"/>
          <w:szCs w:val="28"/>
        </w:rPr>
        <w:t>报    送：省委、省政府领导及相关部门  寄送18市市委、政府领导及相关部门</w:t>
      </w:r>
    </w:p>
    <w:p w14:paraId="39CA08B9">
      <w:r>
        <mc:AlternateContent>
          <mc:Choice Requires="wps">
            <w:drawing>
              <wp:inline distT="0" distB="0" distL="0" distR="0">
                <wp:extent cx="5400040" cy="635"/>
                <wp:effectExtent l="9525" t="15240" r="10160" b="13335"/>
                <wp:docPr id="1"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15875">
                          <a:solidFill>
                            <a:srgbClr val="FF0000"/>
                          </a:solidFill>
                          <a:round/>
                        </a:ln>
                      </wps:spPr>
                      <wps:bodyPr/>
                    </wps:wsp>
                  </a:graphicData>
                </a:graphic>
              </wp:inline>
            </w:drawing>
          </mc:Choice>
          <mc:Fallback>
            <w:pict>
              <v:line id="直接连接符 4" o:spid="_x0000_s1026" o:spt="20" style="height:0.05pt;width:425.2pt;" filled="f" stroked="t" coordsize="21600,21600" o:gfxdata="UEsDBAoAAAAAAIdO4kAAAAAAAAAAAAAAAAAEAAAAZHJzL1BLAwQUAAAACACHTuJAgUYw1dIAAAAC&#10;AQAADwAAAGRycy9kb3ducmV2LnhtbE2PwU7DMBBE70j8g7VIXBC1WwqUEKcHEOJGRUHiurWXJCJe&#10;h9htCl/PlgtcRlrNaOZtudyHTu1oSG1kC9OJAUXsom+5tvD68nC+AJUysscuMln4ogTL6vioxMLH&#10;kZ9pt861khJOBVpocu4LrZNrKGCaxJ5YvPc4BMxyDrX2A45SHjo9M+ZKB2xZFhrs6a4h97HeBgt8&#10;ffPoPldv2c31OMazi+8nnN1be3oyNbegMu3zXxgO+IIOlTBt4pZ9Up0FeST/qniLSzMHtTmEdFXq&#10;/+jVD1BLAwQUAAAACACHTuJAS9ChJuYBAACrAwAADgAAAGRycy9lMm9Eb2MueG1srVPNbhMxEL4j&#10;8Q6W72Q3VQLVKpseEoVLgUgtD+B4vVkL22N5nGzyErwAEjc4ceTO21Aeg7HzA20vPfRirT0z33zf&#10;N7OTq501bKsCanA1Hw5KzpST0Gi3rvnH28WrS84wCtcIA07VfK+QX01fvpj0vlIX0IFpVGAE4rDq&#10;fc27GH1VFCg7ZQUOwCtHwRaCFZGuYV00QfSEbk1xUZavix5C4wNIhUiv80OQHxHDUwChbbVUc5Ab&#10;q1w8oAZlRCRJ2GmPfJrZtq2S8UPboorM1JyUxnxSE/pepbOYTkS1DsJ3Wh4piKdQeKDJCu2o6Rlq&#10;LqJgm6AfQVktAyC0cSDBFgch2RFSMSwfeHPTCa+yFrIa/dl0fD5Y+X67DEw3tAmcOWFp4Hdffv7+&#10;/O3Pr6903v34zkbJpN5jRbkztwxJpty5G38N8hMyB7NOuLXKZG/3nhCGqaK4V5Iu6KnVqn8HDeWI&#10;TYTs2K4NNkGSF2yXB7M/D0btIpP0OB6VZTmimclTrBDVqdAHjG8VWJY+am60S56JSmyvMSYiojql&#10;pGcHC21MnrtxrCe248s341yBYHSToikPw3o1M4FtBa3OYkEE8rYQ2r20ABvXHLoYd1SdhB4sW0Gz&#10;X4aTGzTDTOe4b2lJ/r/n6n//2PQ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gUYw1dIAAAACAQAA&#10;DwAAAAAAAAABACAAAAAiAAAAZHJzL2Rvd25yZXYueG1sUEsBAhQAFAAAAAgAh07iQEvQoSbmAQAA&#10;qwMAAA4AAAAAAAAAAQAgAAAAIQEAAGRycy9lMm9Eb2MueG1sUEsFBgAAAAAGAAYAWQEAAHkFAAAA&#10;AA==&#10;">
                <v:fill on="f" focussize="0,0"/>
                <v:stroke weight="1.25pt" color="#FF0000" joinstyle="round"/>
                <v:imagedata o:title=""/>
                <o:lock v:ext="edit" aspectratio="f"/>
                <w10:wrap type="none"/>
                <w10:anchorlock/>
              </v:line>
            </w:pict>
          </mc:Fallback>
        </mc:AlternateContent>
      </w:r>
    </w:p>
    <w:p w14:paraId="0577F132">
      <w:pPr>
        <w:spacing w:line="360" w:lineRule="auto"/>
        <w:rPr>
          <w:rFonts w:ascii="仿宋_GB2312" w:eastAsia="仿宋_GB2312"/>
          <w:sz w:val="28"/>
          <w:szCs w:val="28"/>
        </w:rPr>
      </w:pPr>
      <w:r>
        <w:rPr>
          <w:rFonts w:hint="eastAsia" w:ascii="仿宋_GB2312" w:eastAsia="仿宋_GB2312"/>
          <w:sz w:val="28"/>
          <w:szCs w:val="28"/>
        </w:rPr>
        <w:t>中心地址：郑州市科学大道136号政法学院三楼</w:t>
      </w:r>
      <w:r>
        <w:rPr>
          <w:rFonts w:hint="eastAsia" w:ascii="仿宋_GB2312" w:eastAsia="仿宋_GB2312"/>
          <w:sz w:val="28"/>
          <w:szCs w:val="28"/>
          <w:lang w:val="en-US" w:eastAsia="zh-CN"/>
        </w:rPr>
        <w:t>307</w:t>
      </w:r>
      <w:r>
        <w:rPr>
          <w:rFonts w:hint="eastAsia" w:ascii="仿宋_GB2312" w:eastAsia="仿宋_GB2312"/>
          <w:sz w:val="28"/>
          <w:szCs w:val="28"/>
        </w:rPr>
        <w:t xml:space="preserve">室 </w:t>
      </w:r>
    </w:p>
    <w:p w14:paraId="68B19C1F">
      <w:pPr>
        <w:spacing w:line="360" w:lineRule="auto"/>
        <w:rPr>
          <w:rFonts w:ascii="仿宋_GB2312" w:eastAsia="仿宋_GB2312"/>
          <w:sz w:val="28"/>
          <w:szCs w:val="28"/>
        </w:rPr>
      </w:pPr>
      <w:r>
        <w:rPr>
          <w:rFonts w:hint="eastAsia" w:ascii="仿宋_GB2312" w:eastAsia="仿宋_GB2312"/>
          <w:sz w:val="28"/>
          <w:szCs w:val="28"/>
        </w:rPr>
        <w:t xml:space="preserve">邮    编：450001 </w:t>
      </w:r>
    </w:p>
    <w:p w14:paraId="1B05134B">
      <w:pPr>
        <w:adjustRightInd w:val="0"/>
        <w:snapToGrid w:val="0"/>
        <w:spacing w:line="360" w:lineRule="auto"/>
        <w:rPr>
          <w:sz w:val="24"/>
        </w:rPr>
      </w:pPr>
      <w:r>
        <w:rPr>
          <w:rFonts w:hint="eastAsia" w:ascii="仿宋_GB2312" w:eastAsia="仿宋_GB2312"/>
          <w:sz w:val="28"/>
          <w:szCs w:val="28"/>
        </w:rPr>
        <w:t>电    话：0371-</w:t>
      </w:r>
      <w:r>
        <w:rPr>
          <w:rFonts w:ascii="仿宋_GB2312" w:eastAsia="仿宋_GB2312"/>
          <w:sz w:val="28"/>
          <w:szCs w:val="28"/>
        </w:rPr>
        <w:t>86609698</w:t>
      </w:r>
      <w:r>
        <w:rPr>
          <w:rFonts w:hint="eastAsia" w:ascii="仿宋_GB2312" w:eastAsia="仿宋_GB2312"/>
          <w:sz w:val="28"/>
          <w:szCs w:val="28"/>
        </w:rPr>
        <w:t xml:space="preserve">     电子邮箱：zzuli_</w:t>
      </w:r>
      <w:r>
        <w:rPr>
          <w:rFonts w:ascii="仿宋_GB2312" w:eastAsia="仿宋_GB2312"/>
          <w:sz w:val="28"/>
          <w:szCs w:val="28"/>
        </w:rPr>
        <w:t>shfzyjzx</w:t>
      </w:r>
      <w:r>
        <w:rPr>
          <w:rFonts w:hint="eastAsia" w:ascii="仿宋_GB2312" w:eastAsia="仿宋_GB2312"/>
          <w:sz w:val="28"/>
          <w:szCs w:val="28"/>
        </w:rPr>
        <w:t>@163.com</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decorative"/>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480950"/>
    </w:sdtPr>
    <w:sdtContent>
      <w:p w14:paraId="7FB63DC6">
        <w:pPr>
          <w:pStyle w:val="5"/>
          <w:jc w:val="center"/>
        </w:pPr>
        <w:r>
          <w:fldChar w:fldCharType="begin"/>
        </w:r>
        <w:r>
          <w:instrText xml:space="preserve"> PAGE   \* MERGEFORMAT </w:instrText>
        </w:r>
        <w:r>
          <w:fldChar w:fldCharType="separate"/>
        </w:r>
        <w:r>
          <w:rPr>
            <w:lang w:val="zh-CN"/>
          </w:rPr>
          <w:t>8</w:t>
        </w:r>
        <w:r>
          <w:rPr>
            <w:lang w:val="zh-CN"/>
          </w:rPr>
          <w:fldChar w:fldCharType="end"/>
        </w:r>
      </w:p>
    </w:sdtContent>
  </w:sdt>
  <w:p w14:paraId="47778BC7">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5DC101"/>
    <w:multiLevelType w:val="singleLevel"/>
    <w:tmpl w:val="5A5DC101"/>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NzkxMGUwNDZjYmNlNmEyOTgyNWQ0NjllYzc4YjcifQ=="/>
  </w:docVars>
  <w:rsids>
    <w:rsidRoot w:val="71A90B47"/>
    <w:rsid w:val="000B5BBC"/>
    <w:rsid w:val="00176AE3"/>
    <w:rsid w:val="001C6991"/>
    <w:rsid w:val="001F5DB7"/>
    <w:rsid w:val="00224592"/>
    <w:rsid w:val="00232881"/>
    <w:rsid w:val="00263714"/>
    <w:rsid w:val="0027195B"/>
    <w:rsid w:val="002A6FE5"/>
    <w:rsid w:val="002B2591"/>
    <w:rsid w:val="003230F5"/>
    <w:rsid w:val="003232A5"/>
    <w:rsid w:val="00344E7A"/>
    <w:rsid w:val="00347436"/>
    <w:rsid w:val="00356F53"/>
    <w:rsid w:val="00360268"/>
    <w:rsid w:val="003679D4"/>
    <w:rsid w:val="00372971"/>
    <w:rsid w:val="00391C6A"/>
    <w:rsid w:val="00453BE3"/>
    <w:rsid w:val="004A275C"/>
    <w:rsid w:val="004B4980"/>
    <w:rsid w:val="004F4590"/>
    <w:rsid w:val="00511F1D"/>
    <w:rsid w:val="005C38F1"/>
    <w:rsid w:val="006958B2"/>
    <w:rsid w:val="006D5EA4"/>
    <w:rsid w:val="006F363A"/>
    <w:rsid w:val="006F6659"/>
    <w:rsid w:val="00783C09"/>
    <w:rsid w:val="007B4013"/>
    <w:rsid w:val="007F1D32"/>
    <w:rsid w:val="007F29C5"/>
    <w:rsid w:val="008B0023"/>
    <w:rsid w:val="008B1FCC"/>
    <w:rsid w:val="009463B2"/>
    <w:rsid w:val="00AD1ADF"/>
    <w:rsid w:val="00AE0F3F"/>
    <w:rsid w:val="00B4242D"/>
    <w:rsid w:val="00B50F8F"/>
    <w:rsid w:val="00B91DD9"/>
    <w:rsid w:val="00BA3ACC"/>
    <w:rsid w:val="00BD21AB"/>
    <w:rsid w:val="00C20141"/>
    <w:rsid w:val="00C75194"/>
    <w:rsid w:val="00CA410D"/>
    <w:rsid w:val="00CB2125"/>
    <w:rsid w:val="00D21A2F"/>
    <w:rsid w:val="00D32973"/>
    <w:rsid w:val="00D557D1"/>
    <w:rsid w:val="00DC1859"/>
    <w:rsid w:val="00DC3F84"/>
    <w:rsid w:val="00DE3CCF"/>
    <w:rsid w:val="00E1626D"/>
    <w:rsid w:val="00EA5534"/>
    <w:rsid w:val="00EE7282"/>
    <w:rsid w:val="00F4664E"/>
    <w:rsid w:val="00F56200"/>
    <w:rsid w:val="00F83B08"/>
    <w:rsid w:val="00F849E1"/>
    <w:rsid w:val="011779DC"/>
    <w:rsid w:val="01FE7937"/>
    <w:rsid w:val="02A87FA2"/>
    <w:rsid w:val="02F178A1"/>
    <w:rsid w:val="030B7451"/>
    <w:rsid w:val="03271169"/>
    <w:rsid w:val="03A424C9"/>
    <w:rsid w:val="03BA51B8"/>
    <w:rsid w:val="03BE671C"/>
    <w:rsid w:val="03EE2E67"/>
    <w:rsid w:val="04B76386"/>
    <w:rsid w:val="04C454C4"/>
    <w:rsid w:val="05C50117"/>
    <w:rsid w:val="06E61D10"/>
    <w:rsid w:val="07E107A5"/>
    <w:rsid w:val="0850673C"/>
    <w:rsid w:val="09015536"/>
    <w:rsid w:val="09997B9A"/>
    <w:rsid w:val="09F15DA0"/>
    <w:rsid w:val="0A253C89"/>
    <w:rsid w:val="0A64575B"/>
    <w:rsid w:val="0B023F35"/>
    <w:rsid w:val="0B22379E"/>
    <w:rsid w:val="0B6211E5"/>
    <w:rsid w:val="0B8E3EA7"/>
    <w:rsid w:val="0C32530C"/>
    <w:rsid w:val="0D1D7197"/>
    <w:rsid w:val="0D5D4850"/>
    <w:rsid w:val="0FD63DBF"/>
    <w:rsid w:val="108B7619"/>
    <w:rsid w:val="112E0677"/>
    <w:rsid w:val="126A745B"/>
    <w:rsid w:val="135721D2"/>
    <w:rsid w:val="146F4992"/>
    <w:rsid w:val="14E8064B"/>
    <w:rsid w:val="16527CCB"/>
    <w:rsid w:val="16C709CD"/>
    <w:rsid w:val="16CB796E"/>
    <w:rsid w:val="170B6F8A"/>
    <w:rsid w:val="19750E5B"/>
    <w:rsid w:val="1A2130F8"/>
    <w:rsid w:val="1A454E07"/>
    <w:rsid w:val="1BC76DE4"/>
    <w:rsid w:val="1BDA5B38"/>
    <w:rsid w:val="1C2C7288"/>
    <w:rsid w:val="1C4D6F8B"/>
    <w:rsid w:val="1D436EB7"/>
    <w:rsid w:val="1E1505F3"/>
    <w:rsid w:val="1E561634"/>
    <w:rsid w:val="1EFA6B1A"/>
    <w:rsid w:val="1F351389"/>
    <w:rsid w:val="205D6BAF"/>
    <w:rsid w:val="20976992"/>
    <w:rsid w:val="209C49D7"/>
    <w:rsid w:val="21063400"/>
    <w:rsid w:val="21966BA9"/>
    <w:rsid w:val="226A6C76"/>
    <w:rsid w:val="24AF0EAB"/>
    <w:rsid w:val="24D766CC"/>
    <w:rsid w:val="25146CF9"/>
    <w:rsid w:val="257A4F75"/>
    <w:rsid w:val="271E1B45"/>
    <w:rsid w:val="29B34EBD"/>
    <w:rsid w:val="2AAB6417"/>
    <w:rsid w:val="2B37402D"/>
    <w:rsid w:val="2C2567F1"/>
    <w:rsid w:val="2DC8088C"/>
    <w:rsid w:val="2DD50FE9"/>
    <w:rsid w:val="2F07075C"/>
    <w:rsid w:val="318804A3"/>
    <w:rsid w:val="33794817"/>
    <w:rsid w:val="348456C9"/>
    <w:rsid w:val="35605802"/>
    <w:rsid w:val="36607502"/>
    <w:rsid w:val="36A41552"/>
    <w:rsid w:val="374B03E7"/>
    <w:rsid w:val="37CB4EFE"/>
    <w:rsid w:val="38784055"/>
    <w:rsid w:val="388B7677"/>
    <w:rsid w:val="38AA721A"/>
    <w:rsid w:val="391D6208"/>
    <w:rsid w:val="397D31ED"/>
    <w:rsid w:val="39DE32EE"/>
    <w:rsid w:val="400702EE"/>
    <w:rsid w:val="40523029"/>
    <w:rsid w:val="409842C6"/>
    <w:rsid w:val="40D772E2"/>
    <w:rsid w:val="40F321D9"/>
    <w:rsid w:val="41837B46"/>
    <w:rsid w:val="41E35961"/>
    <w:rsid w:val="422B235D"/>
    <w:rsid w:val="434A7271"/>
    <w:rsid w:val="457E7954"/>
    <w:rsid w:val="45A90459"/>
    <w:rsid w:val="46285DDB"/>
    <w:rsid w:val="46BD7E0E"/>
    <w:rsid w:val="46CE7656"/>
    <w:rsid w:val="47023792"/>
    <w:rsid w:val="480F154E"/>
    <w:rsid w:val="484E23B0"/>
    <w:rsid w:val="49E3109E"/>
    <w:rsid w:val="49E76ED6"/>
    <w:rsid w:val="4A824D34"/>
    <w:rsid w:val="4A8417A4"/>
    <w:rsid w:val="4A96425E"/>
    <w:rsid w:val="4AD310F0"/>
    <w:rsid w:val="4B266300"/>
    <w:rsid w:val="4C144E71"/>
    <w:rsid w:val="4C515F3C"/>
    <w:rsid w:val="4D335F6F"/>
    <w:rsid w:val="4DA53DBA"/>
    <w:rsid w:val="4DE63150"/>
    <w:rsid w:val="4ED47B2A"/>
    <w:rsid w:val="4F1C5BFD"/>
    <w:rsid w:val="502D19A9"/>
    <w:rsid w:val="50AF7C12"/>
    <w:rsid w:val="53F77B66"/>
    <w:rsid w:val="547076E1"/>
    <w:rsid w:val="56A634C9"/>
    <w:rsid w:val="57632B82"/>
    <w:rsid w:val="57C444AA"/>
    <w:rsid w:val="58CD37BD"/>
    <w:rsid w:val="5A695B0E"/>
    <w:rsid w:val="5B504003"/>
    <w:rsid w:val="5BB76FA3"/>
    <w:rsid w:val="5CA33ACC"/>
    <w:rsid w:val="5CE337E2"/>
    <w:rsid w:val="5DED6326"/>
    <w:rsid w:val="5E716381"/>
    <w:rsid w:val="5EFB3B4F"/>
    <w:rsid w:val="5F916BC0"/>
    <w:rsid w:val="60184526"/>
    <w:rsid w:val="61A85DE6"/>
    <w:rsid w:val="625724D1"/>
    <w:rsid w:val="63982F72"/>
    <w:rsid w:val="64F54D95"/>
    <w:rsid w:val="65F57595"/>
    <w:rsid w:val="663F7157"/>
    <w:rsid w:val="67691726"/>
    <w:rsid w:val="6876209B"/>
    <w:rsid w:val="699B1971"/>
    <w:rsid w:val="6A066E75"/>
    <w:rsid w:val="6AC7346E"/>
    <w:rsid w:val="6B8775C5"/>
    <w:rsid w:val="6B943DD2"/>
    <w:rsid w:val="6BA929A7"/>
    <w:rsid w:val="6BDC1E64"/>
    <w:rsid w:val="6D9C54EB"/>
    <w:rsid w:val="71A90B47"/>
    <w:rsid w:val="72756728"/>
    <w:rsid w:val="74294755"/>
    <w:rsid w:val="74DE75D6"/>
    <w:rsid w:val="75263D5F"/>
    <w:rsid w:val="753B687F"/>
    <w:rsid w:val="75994FCD"/>
    <w:rsid w:val="75CA41F3"/>
    <w:rsid w:val="75F302AC"/>
    <w:rsid w:val="77C66906"/>
    <w:rsid w:val="78641B98"/>
    <w:rsid w:val="7864257E"/>
    <w:rsid w:val="79762AF9"/>
    <w:rsid w:val="797949FB"/>
    <w:rsid w:val="7AE97398"/>
    <w:rsid w:val="7B576F8C"/>
    <w:rsid w:val="7BEB5EF4"/>
    <w:rsid w:val="7BFC74C2"/>
    <w:rsid w:val="7E5E253D"/>
    <w:rsid w:val="7E6C509C"/>
    <w:rsid w:val="7ED3777F"/>
    <w:rsid w:val="7ED51838"/>
    <w:rsid w:val="7FBF5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line="412" w:lineRule="auto"/>
      <w:outlineLvl w:val="2"/>
    </w:pPr>
    <w:rPr>
      <w:rFonts w:ascii="Calibri" w:hAnsi="Calibri" w:eastAsia="宋体" w:cs="Times New Roman"/>
      <w:b/>
      <w:sz w:val="32"/>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pPr>
      <w:jc w:val="left"/>
    </w:pPr>
  </w:style>
  <w:style w:type="paragraph" w:styleId="4">
    <w:name w:val="Balloon Text"/>
    <w:basedOn w:val="1"/>
    <w:link w:val="18"/>
    <w:qFormat/>
    <w:uiPriority w:val="0"/>
    <w:rPr>
      <w:sz w:val="18"/>
      <w:szCs w:val="18"/>
    </w:rPr>
  </w:style>
  <w:style w:type="paragraph" w:styleId="5">
    <w:name w:val="footer"/>
    <w:basedOn w:val="1"/>
    <w:link w:val="19"/>
    <w:qFormat/>
    <w:uiPriority w:val="99"/>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rFonts w:ascii="Times New Roman" w:hAnsi="Times New Roman" w:cs="Times New Roman"/>
      <w:sz w:val="18"/>
    </w:rPr>
  </w:style>
  <w:style w:type="paragraph" w:styleId="8">
    <w:name w:val="annotation subject"/>
    <w:basedOn w:val="3"/>
    <w:next w:val="3"/>
    <w:link w:val="17"/>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font31"/>
    <w:qFormat/>
    <w:uiPriority w:val="0"/>
    <w:rPr>
      <w:rFonts w:hint="eastAsia" w:ascii="宋体" w:hAnsi="宋体" w:eastAsia="宋体" w:cs="宋体"/>
      <w:color w:val="000000"/>
      <w:sz w:val="18"/>
      <w:szCs w:val="18"/>
      <w:u w:val="none"/>
    </w:rPr>
  </w:style>
  <w:style w:type="paragraph" w:customStyle="1" w:styleId="14">
    <w:name w:val="p0"/>
    <w:basedOn w:val="1"/>
    <w:qFormat/>
    <w:uiPriority w:val="0"/>
    <w:pPr>
      <w:widowControl/>
    </w:pPr>
    <w:rPr>
      <w:kern w:val="0"/>
      <w:szCs w:val="21"/>
    </w:rPr>
  </w:style>
  <w:style w:type="character" w:customStyle="1" w:styleId="15">
    <w:name w:val="页眉 字符"/>
    <w:basedOn w:val="11"/>
    <w:link w:val="6"/>
    <w:qFormat/>
    <w:uiPriority w:val="0"/>
    <w:rPr>
      <w:rFonts w:asciiTheme="minorHAnsi" w:hAnsiTheme="minorHAnsi" w:eastAsiaTheme="minorEastAsia" w:cstheme="minorBidi"/>
      <w:kern w:val="2"/>
      <w:sz w:val="18"/>
      <w:szCs w:val="18"/>
    </w:rPr>
  </w:style>
  <w:style w:type="character" w:customStyle="1" w:styleId="16">
    <w:name w:val="批注文字 字符"/>
    <w:basedOn w:val="11"/>
    <w:link w:val="3"/>
    <w:qFormat/>
    <w:uiPriority w:val="0"/>
    <w:rPr>
      <w:rFonts w:asciiTheme="minorHAnsi" w:hAnsiTheme="minorHAnsi" w:eastAsiaTheme="minorEastAsia" w:cstheme="minorBidi"/>
      <w:kern w:val="2"/>
      <w:sz w:val="21"/>
      <w:szCs w:val="24"/>
    </w:rPr>
  </w:style>
  <w:style w:type="character" w:customStyle="1" w:styleId="17">
    <w:name w:val="批注主题 字符"/>
    <w:basedOn w:val="16"/>
    <w:link w:val="8"/>
    <w:qFormat/>
    <w:uiPriority w:val="0"/>
    <w:rPr>
      <w:rFonts w:asciiTheme="minorHAnsi" w:hAnsiTheme="minorHAnsi" w:eastAsiaTheme="minorEastAsia" w:cstheme="minorBidi"/>
      <w:b/>
      <w:bCs/>
      <w:kern w:val="2"/>
      <w:sz w:val="21"/>
      <w:szCs w:val="24"/>
    </w:rPr>
  </w:style>
  <w:style w:type="character" w:customStyle="1" w:styleId="18">
    <w:name w:val="批注框文本 字符"/>
    <w:basedOn w:val="11"/>
    <w:link w:val="4"/>
    <w:qFormat/>
    <w:uiPriority w:val="0"/>
    <w:rPr>
      <w:rFonts w:asciiTheme="minorHAnsi" w:hAnsiTheme="minorHAnsi" w:eastAsiaTheme="minorEastAsia" w:cstheme="minorBidi"/>
      <w:kern w:val="2"/>
      <w:sz w:val="18"/>
      <w:szCs w:val="18"/>
    </w:rPr>
  </w:style>
  <w:style w:type="character" w:customStyle="1" w:styleId="19">
    <w:name w:val="页脚 字符"/>
    <w:basedOn w:val="11"/>
    <w:link w:val="5"/>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460</Words>
  <Characters>476</Characters>
  <Lines>32</Lines>
  <Paragraphs>9</Paragraphs>
  <TotalTime>17</TotalTime>
  <ScaleCrop>false</ScaleCrop>
  <LinksUpToDate>false</LinksUpToDate>
  <CharactersWithSpaces>515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2020-08-07T03:19:00Z</dcterms:created>
  <dc:creator>lenovo</dc:creator>
  <cp:lastModifiedBy>游来游去</cp:lastModifiedBy>
  <dcterms:modified xsi:type="dcterms:W3CDTF">2026-10-14T03:16:27Z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1DC748AA14D344598E71594D10CE3B59_13</vt:lpwstr>
  </property>
  <property fmtid="{D5CDD505-2E9C-101B-9397-08002B2CF9AE}" pid="4" name="KSOTemplateDocerSaveRecord">
    <vt:lpwstr>eyJoZGlkIjoiY2QxNTIwOTU1NzYzMGI3ZjYyNDNhYmMzNjMwZThlNmEiLCJ1c2VySWQiOiIxMDQzNjkyIn0=</vt:lpwstr>
  </property>
</Properties>
</file>